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22" w:rsidRPr="00243BB5" w:rsidRDefault="00D84322" w:rsidP="00323970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proofErr w:type="gramStart"/>
      <w:r w:rsidRPr="00243BB5">
        <w:rPr>
          <w:rFonts w:cs="Arial"/>
          <w:b/>
          <w:sz w:val="20"/>
          <w:szCs w:val="20"/>
          <w:u w:val="single"/>
        </w:rPr>
        <w:t>MANUAL – CONVÊNIOS – FEIRAS</w:t>
      </w:r>
      <w:proofErr w:type="gramEnd"/>
      <w:r w:rsidRPr="00243BB5">
        <w:rPr>
          <w:rFonts w:cs="Arial"/>
          <w:b/>
          <w:sz w:val="20"/>
          <w:szCs w:val="20"/>
          <w:u w:val="single"/>
        </w:rPr>
        <w:t xml:space="preserve"> DE LIVROS</w:t>
      </w:r>
    </w:p>
    <w:p w:rsidR="00377BDB" w:rsidRPr="00243BB5" w:rsidRDefault="00377BDB" w:rsidP="00323970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r w:rsidRPr="00243BB5">
        <w:rPr>
          <w:rFonts w:cs="Arial"/>
          <w:b/>
          <w:sz w:val="20"/>
          <w:szCs w:val="20"/>
          <w:u w:val="single"/>
        </w:rPr>
        <w:t>1 –</w:t>
      </w:r>
      <w:proofErr w:type="gramStart"/>
      <w:r w:rsidRPr="00243BB5">
        <w:rPr>
          <w:rFonts w:cs="Arial"/>
          <w:b/>
          <w:sz w:val="20"/>
          <w:szCs w:val="20"/>
          <w:u w:val="single"/>
        </w:rPr>
        <w:t xml:space="preserve">  </w:t>
      </w:r>
      <w:proofErr w:type="gramEnd"/>
      <w:r w:rsidR="00D84322" w:rsidRPr="00243BB5">
        <w:rPr>
          <w:rFonts w:cs="Arial"/>
          <w:b/>
          <w:sz w:val="20"/>
          <w:szCs w:val="20"/>
          <w:u w:val="single"/>
        </w:rPr>
        <w:t>Informações Gerais e Definições</w:t>
      </w:r>
    </w:p>
    <w:p w:rsidR="00D84322" w:rsidRPr="00243BB5" w:rsidRDefault="00377BDB" w:rsidP="00323970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i/>
          <w:sz w:val="20"/>
          <w:szCs w:val="20"/>
        </w:rPr>
        <w:t>1.1</w:t>
      </w:r>
      <w:r w:rsidR="003047CB" w:rsidRPr="00243BB5">
        <w:rPr>
          <w:rFonts w:cs="Arial"/>
          <w:i/>
          <w:sz w:val="20"/>
          <w:szCs w:val="20"/>
        </w:rPr>
        <w:t xml:space="preserve"> Convênio</w:t>
      </w:r>
      <w:proofErr w:type="gramEnd"/>
      <w:r w:rsidR="0063449F" w:rsidRPr="00243BB5">
        <w:rPr>
          <w:rFonts w:cs="Arial"/>
          <w:i/>
          <w:sz w:val="20"/>
          <w:szCs w:val="20"/>
        </w:rPr>
        <w:t xml:space="preserve"> - </w:t>
      </w:r>
      <w:r w:rsidR="003047CB" w:rsidRPr="00243BB5">
        <w:rPr>
          <w:rFonts w:cs="Arial"/>
          <w:sz w:val="20"/>
          <w:szCs w:val="20"/>
        </w:rPr>
        <w:t xml:space="preserve">É </w:t>
      </w:r>
      <w:r w:rsidR="00D84322" w:rsidRPr="00243BB5">
        <w:rPr>
          <w:rFonts w:cs="Arial"/>
          <w:sz w:val="20"/>
          <w:szCs w:val="20"/>
        </w:rPr>
        <w:t xml:space="preserve">o </w:t>
      </w:r>
      <w:r w:rsidR="003047CB" w:rsidRPr="00243BB5">
        <w:rPr>
          <w:rFonts w:cs="Arial"/>
          <w:sz w:val="20"/>
          <w:szCs w:val="20"/>
        </w:rPr>
        <w:t xml:space="preserve">acordo </w:t>
      </w:r>
      <w:r w:rsidR="00D84322" w:rsidRPr="00243BB5">
        <w:rPr>
          <w:rFonts w:cs="Arial"/>
          <w:sz w:val="20"/>
          <w:szCs w:val="20"/>
        </w:rPr>
        <w:t>pelo qual ocorre</w:t>
      </w:r>
      <w:r w:rsidR="003047CB" w:rsidRPr="00243BB5">
        <w:rPr>
          <w:rFonts w:cs="Arial"/>
          <w:sz w:val="20"/>
          <w:szCs w:val="20"/>
        </w:rPr>
        <w:t xml:space="preserve"> a transferência de recursos financeiros d</w:t>
      </w:r>
      <w:r w:rsidR="00D84322" w:rsidRPr="00243BB5">
        <w:rPr>
          <w:rFonts w:cs="Arial"/>
          <w:sz w:val="20"/>
          <w:szCs w:val="20"/>
        </w:rPr>
        <w:t>a</w:t>
      </w:r>
      <w:r w:rsidR="003047CB" w:rsidRPr="00243BB5">
        <w:rPr>
          <w:rFonts w:cs="Arial"/>
          <w:sz w:val="20"/>
          <w:szCs w:val="20"/>
        </w:rPr>
        <w:t xml:space="preserve"> União</w:t>
      </w:r>
      <w:r w:rsidR="00D84322" w:rsidRPr="00243BB5">
        <w:rPr>
          <w:rFonts w:cs="Arial"/>
          <w:sz w:val="20"/>
          <w:szCs w:val="20"/>
        </w:rPr>
        <w:t>, Estados ou Municípios por meio de ó</w:t>
      </w:r>
      <w:r w:rsidR="003047CB" w:rsidRPr="00243BB5">
        <w:rPr>
          <w:rFonts w:cs="Arial"/>
          <w:sz w:val="20"/>
          <w:szCs w:val="20"/>
        </w:rPr>
        <w:t>rgão ou entidade da administração pública  direta ou indireta</w:t>
      </w:r>
      <w:r w:rsidR="00D84322" w:rsidRPr="00243BB5">
        <w:rPr>
          <w:rFonts w:cs="Arial"/>
          <w:sz w:val="20"/>
          <w:szCs w:val="20"/>
        </w:rPr>
        <w:t xml:space="preserve"> em favor de </w:t>
      </w:r>
      <w:r w:rsidR="003047CB" w:rsidRPr="00243BB5">
        <w:rPr>
          <w:rFonts w:cs="Arial"/>
          <w:sz w:val="20"/>
          <w:szCs w:val="20"/>
        </w:rPr>
        <w:t xml:space="preserve">órgão ou entidade da administração pública estadual, distrital ou municipal, direta ou indireta, ou ainda, entidades privadas sem fins lucrativos, </w:t>
      </w:r>
      <w:r w:rsidR="00D84322" w:rsidRPr="00243BB5">
        <w:rPr>
          <w:rFonts w:cs="Arial"/>
          <w:sz w:val="20"/>
          <w:szCs w:val="20"/>
        </w:rPr>
        <w:t>tendo por objeto</w:t>
      </w:r>
      <w:r w:rsidR="003047CB" w:rsidRPr="00243BB5">
        <w:rPr>
          <w:rFonts w:cs="Arial"/>
          <w:sz w:val="20"/>
          <w:szCs w:val="20"/>
        </w:rPr>
        <w:t xml:space="preserve"> à </w:t>
      </w:r>
      <w:r w:rsidR="00D84322" w:rsidRPr="00243BB5">
        <w:rPr>
          <w:rFonts w:cs="Arial"/>
          <w:sz w:val="20"/>
          <w:szCs w:val="20"/>
        </w:rPr>
        <w:t>realizaç</w:t>
      </w:r>
      <w:r w:rsidR="003047CB" w:rsidRPr="00243BB5">
        <w:rPr>
          <w:rFonts w:cs="Arial"/>
          <w:sz w:val="20"/>
          <w:szCs w:val="20"/>
        </w:rPr>
        <w:t>ão de projeto, ati</w:t>
      </w:r>
      <w:r w:rsidR="00801A97" w:rsidRPr="00243BB5">
        <w:rPr>
          <w:rFonts w:cs="Arial"/>
          <w:sz w:val="20"/>
          <w:szCs w:val="20"/>
        </w:rPr>
        <w:t>vidade, serviço, aquisição de bens ou eventos de interesse recíproco</w:t>
      </w:r>
      <w:r w:rsidR="00D84322" w:rsidRPr="00243BB5">
        <w:rPr>
          <w:rFonts w:cs="Arial"/>
          <w:sz w:val="20"/>
          <w:szCs w:val="20"/>
        </w:rPr>
        <w:t>.</w:t>
      </w:r>
    </w:p>
    <w:p w:rsidR="00801A97" w:rsidRPr="00243BB5" w:rsidRDefault="00801A97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D84322" w:rsidRPr="00243BB5">
        <w:rPr>
          <w:rFonts w:cs="Arial"/>
          <w:i/>
          <w:sz w:val="20"/>
          <w:szCs w:val="20"/>
        </w:rPr>
        <w:t>2</w:t>
      </w:r>
      <w:r w:rsidRPr="00243BB5">
        <w:rPr>
          <w:rFonts w:cs="Arial"/>
          <w:i/>
          <w:sz w:val="20"/>
          <w:szCs w:val="20"/>
        </w:rPr>
        <w:t xml:space="preserve"> – Concedente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Pr="00243BB5">
        <w:rPr>
          <w:rFonts w:cs="Arial"/>
          <w:sz w:val="20"/>
          <w:szCs w:val="20"/>
        </w:rPr>
        <w:t>É o órgão ou entidade da administração pública responsável pela transferência d</w:t>
      </w:r>
      <w:r w:rsidR="00D84322" w:rsidRPr="00243BB5">
        <w:rPr>
          <w:rFonts w:cs="Arial"/>
          <w:sz w:val="20"/>
          <w:szCs w:val="20"/>
        </w:rPr>
        <w:t>os</w:t>
      </w:r>
      <w:r w:rsidRPr="00243BB5">
        <w:rPr>
          <w:rFonts w:cs="Arial"/>
          <w:sz w:val="20"/>
          <w:szCs w:val="20"/>
        </w:rPr>
        <w:t xml:space="preserve"> recursos financeiros destinados à </w:t>
      </w:r>
      <w:r w:rsidR="00D84322" w:rsidRPr="00243BB5">
        <w:rPr>
          <w:rFonts w:cs="Arial"/>
          <w:sz w:val="20"/>
          <w:szCs w:val="20"/>
        </w:rPr>
        <w:t xml:space="preserve">realização </w:t>
      </w:r>
      <w:r w:rsidRPr="00243BB5">
        <w:rPr>
          <w:rFonts w:cs="Arial"/>
          <w:sz w:val="20"/>
          <w:szCs w:val="20"/>
        </w:rPr>
        <w:t>do objeto do convênio.</w:t>
      </w:r>
    </w:p>
    <w:p w:rsidR="00D84322" w:rsidRPr="00243BB5" w:rsidRDefault="00A27563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D84322" w:rsidRPr="00243BB5">
        <w:rPr>
          <w:rFonts w:cs="Arial"/>
          <w:i/>
          <w:sz w:val="20"/>
          <w:szCs w:val="20"/>
        </w:rPr>
        <w:t>3</w:t>
      </w:r>
      <w:r w:rsidR="00801A97" w:rsidRPr="00243BB5">
        <w:rPr>
          <w:rFonts w:cs="Arial"/>
          <w:i/>
          <w:sz w:val="20"/>
          <w:szCs w:val="20"/>
        </w:rPr>
        <w:t xml:space="preserve"> – </w:t>
      </w:r>
      <w:r w:rsidR="00D84322" w:rsidRPr="00243BB5">
        <w:rPr>
          <w:rFonts w:cs="Arial"/>
          <w:i/>
          <w:sz w:val="20"/>
          <w:szCs w:val="20"/>
        </w:rPr>
        <w:t>Pr</w:t>
      </w:r>
      <w:r w:rsidR="00801A97" w:rsidRPr="00243BB5">
        <w:rPr>
          <w:rFonts w:cs="Arial"/>
          <w:i/>
          <w:sz w:val="20"/>
          <w:szCs w:val="20"/>
        </w:rPr>
        <w:t>oponente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Pr="00243BB5">
        <w:rPr>
          <w:rFonts w:cs="Arial"/>
          <w:sz w:val="20"/>
          <w:szCs w:val="20"/>
        </w:rPr>
        <w:t xml:space="preserve">É o órgão ou entidade pública ou privada sem fins </w:t>
      </w:r>
      <w:proofErr w:type="gramStart"/>
      <w:r w:rsidRPr="00243BB5">
        <w:rPr>
          <w:rFonts w:cs="Arial"/>
          <w:sz w:val="20"/>
          <w:szCs w:val="20"/>
        </w:rPr>
        <w:t xml:space="preserve">lucrativos </w:t>
      </w:r>
      <w:r w:rsidR="00D84322" w:rsidRPr="00243BB5">
        <w:rPr>
          <w:rFonts w:cs="Arial"/>
          <w:sz w:val="20"/>
          <w:szCs w:val="20"/>
        </w:rPr>
        <w:t xml:space="preserve">devidamente </w:t>
      </w:r>
      <w:r w:rsidRPr="00243BB5">
        <w:rPr>
          <w:rFonts w:cs="Arial"/>
          <w:sz w:val="20"/>
          <w:szCs w:val="20"/>
        </w:rPr>
        <w:t>credenciada</w:t>
      </w:r>
      <w:proofErr w:type="gramEnd"/>
      <w:r w:rsidRPr="00243BB5">
        <w:rPr>
          <w:rFonts w:cs="Arial"/>
          <w:sz w:val="20"/>
          <w:szCs w:val="20"/>
        </w:rPr>
        <w:t xml:space="preserve"> </w:t>
      </w:r>
      <w:r w:rsidR="00D84322" w:rsidRPr="00243BB5">
        <w:rPr>
          <w:rFonts w:cs="Arial"/>
          <w:sz w:val="20"/>
          <w:szCs w:val="20"/>
        </w:rPr>
        <w:t>para esta finalidade que venha a apresentar a competente pr</w:t>
      </w:r>
      <w:r w:rsidRPr="00243BB5">
        <w:rPr>
          <w:rFonts w:cs="Arial"/>
          <w:sz w:val="20"/>
          <w:szCs w:val="20"/>
        </w:rPr>
        <w:t>oposta de trabalho</w:t>
      </w:r>
      <w:r w:rsidR="00D84322" w:rsidRPr="00243BB5">
        <w:rPr>
          <w:rFonts w:cs="Arial"/>
          <w:sz w:val="20"/>
          <w:szCs w:val="20"/>
        </w:rPr>
        <w:t xml:space="preserve"> para a celebração de um convênio.</w:t>
      </w:r>
    </w:p>
    <w:p w:rsidR="00A27563" w:rsidRPr="00243BB5" w:rsidRDefault="00A27563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D84322" w:rsidRPr="00243BB5">
        <w:rPr>
          <w:rFonts w:cs="Arial"/>
          <w:i/>
          <w:sz w:val="20"/>
          <w:szCs w:val="20"/>
        </w:rPr>
        <w:t>4</w:t>
      </w:r>
      <w:r w:rsidRPr="00243BB5">
        <w:rPr>
          <w:rFonts w:cs="Arial"/>
          <w:i/>
          <w:sz w:val="20"/>
          <w:szCs w:val="20"/>
        </w:rPr>
        <w:t xml:space="preserve"> – Convenente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Pr="00243BB5">
        <w:rPr>
          <w:rFonts w:cs="Arial"/>
          <w:sz w:val="20"/>
          <w:szCs w:val="20"/>
        </w:rPr>
        <w:t xml:space="preserve">É o órgão ou entidade da administração pública direta e ou indireta, </w:t>
      </w:r>
      <w:r w:rsidR="00D84322" w:rsidRPr="00243BB5">
        <w:rPr>
          <w:rFonts w:cs="Arial"/>
          <w:sz w:val="20"/>
          <w:szCs w:val="20"/>
        </w:rPr>
        <w:t>federal estadual ou municipal ou a</w:t>
      </w:r>
      <w:r w:rsidRPr="00243BB5">
        <w:rPr>
          <w:rFonts w:cs="Arial"/>
          <w:sz w:val="20"/>
          <w:szCs w:val="20"/>
        </w:rPr>
        <w:t xml:space="preserve"> entidade privada sem fins lucrativos, </w:t>
      </w:r>
      <w:r w:rsidR="00D84322" w:rsidRPr="00243BB5">
        <w:rPr>
          <w:rFonts w:cs="Arial"/>
          <w:sz w:val="20"/>
          <w:szCs w:val="20"/>
        </w:rPr>
        <w:t xml:space="preserve">que venha a contratar </w:t>
      </w:r>
      <w:r w:rsidRPr="00243BB5">
        <w:rPr>
          <w:rFonts w:cs="Arial"/>
          <w:sz w:val="20"/>
          <w:szCs w:val="20"/>
        </w:rPr>
        <w:t>com a administração pública a execução d</w:t>
      </w:r>
      <w:r w:rsidR="00D84322" w:rsidRPr="00243BB5">
        <w:rPr>
          <w:rFonts w:cs="Arial"/>
          <w:sz w:val="20"/>
          <w:szCs w:val="20"/>
        </w:rPr>
        <w:t>o</w:t>
      </w:r>
      <w:r w:rsidRPr="00243BB5">
        <w:rPr>
          <w:rFonts w:cs="Arial"/>
          <w:sz w:val="20"/>
          <w:szCs w:val="20"/>
        </w:rPr>
        <w:t xml:space="preserve"> </w:t>
      </w:r>
      <w:r w:rsidR="00D84322" w:rsidRPr="00243BB5">
        <w:rPr>
          <w:rFonts w:cs="Arial"/>
          <w:sz w:val="20"/>
          <w:szCs w:val="20"/>
        </w:rPr>
        <w:t>projeto através da</w:t>
      </w:r>
      <w:proofErr w:type="gramStart"/>
      <w:r w:rsidR="00D84322" w:rsidRPr="00243BB5">
        <w:rPr>
          <w:rFonts w:cs="Arial"/>
          <w:sz w:val="20"/>
          <w:szCs w:val="20"/>
        </w:rPr>
        <w:t xml:space="preserve"> </w:t>
      </w:r>
      <w:r w:rsidRPr="00243BB5">
        <w:rPr>
          <w:rFonts w:cs="Arial"/>
          <w:sz w:val="20"/>
          <w:szCs w:val="20"/>
        </w:rPr>
        <w:t xml:space="preserve"> </w:t>
      </w:r>
      <w:proofErr w:type="gramEnd"/>
      <w:r w:rsidRPr="00243BB5">
        <w:rPr>
          <w:rFonts w:cs="Arial"/>
          <w:sz w:val="20"/>
          <w:szCs w:val="20"/>
        </w:rPr>
        <w:t>celebração de convênio.</w:t>
      </w:r>
    </w:p>
    <w:p w:rsidR="001B1EA0" w:rsidRPr="00243BB5" w:rsidRDefault="001B1EA0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D84322" w:rsidRPr="00243BB5">
        <w:rPr>
          <w:rFonts w:cs="Arial"/>
          <w:i/>
          <w:sz w:val="20"/>
          <w:szCs w:val="20"/>
        </w:rPr>
        <w:t>5</w:t>
      </w:r>
      <w:r w:rsidRPr="00243BB5">
        <w:rPr>
          <w:rFonts w:cs="Arial"/>
          <w:i/>
          <w:sz w:val="20"/>
          <w:szCs w:val="20"/>
        </w:rPr>
        <w:t xml:space="preserve"> –</w:t>
      </w:r>
      <w:proofErr w:type="gramStart"/>
      <w:r w:rsidRPr="00243BB5">
        <w:rPr>
          <w:rFonts w:cs="Arial"/>
          <w:i/>
          <w:sz w:val="20"/>
          <w:szCs w:val="20"/>
        </w:rPr>
        <w:t xml:space="preserve">  </w:t>
      </w:r>
      <w:proofErr w:type="gramEnd"/>
      <w:r w:rsidRPr="00243BB5">
        <w:rPr>
          <w:rFonts w:cs="Arial"/>
          <w:i/>
          <w:sz w:val="20"/>
          <w:szCs w:val="20"/>
        </w:rPr>
        <w:t>Contratante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Pr="00243BB5">
        <w:rPr>
          <w:rFonts w:cs="Arial"/>
          <w:sz w:val="20"/>
          <w:szCs w:val="20"/>
        </w:rPr>
        <w:t xml:space="preserve">É o órgão ou a entidade da administração pública </w:t>
      </w:r>
      <w:r w:rsidR="00D84322" w:rsidRPr="00243BB5">
        <w:rPr>
          <w:rFonts w:cs="Arial"/>
          <w:sz w:val="20"/>
          <w:szCs w:val="20"/>
        </w:rPr>
        <w:t xml:space="preserve">federal, estadual ou municipal </w:t>
      </w:r>
      <w:r w:rsidRPr="00243BB5">
        <w:rPr>
          <w:rFonts w:cs="Arial"/>
          <w:sz w:val="20"/>
          <w:szCs w:val="20"/>
        </w:rPr>
        <w:t xml:space="preserve">que </w:t>
      </w:r>
      <w:r w:rsidR="00D84322" w:rsidRPr="00243BB5">
        <w:rPr>
          <w:rFonts w:cs="Arial"/>
          <w:sz w:val="20"/>
          <w:szCs w:val="20"/>
        </w:rPr>
        <w:t>venha a celebrar a</w:t>
      </w:r>
      <w:r w:rsidRPr="00243BB5">
        <w:rPr>
          <w:rFonts w:cs="Arial"/>
          <w:sz w:val="20"/>
          <w:szCs w:val="20"/>
        </w:rPr>
        <w:t xml:space="preserve"> execução de projeto</w:t>
      </w:r>
      <w:r w:rsidR="00C8574E" w:rsidRPr="00243BB5">
        <w:rPr>
          <w:rFonts w:cs="Arial"/>
          <w:sz w:val="20"/>
          <w:szCs w:val="20"/>
        </w:rPr>
        <w:t xml:space="preserve"> </w:t>
      </w:r>
      <w:r w:rsidRPr="00243BB5">
        <w:rPr>
          <w:rFonts w:cs="Arial"/>
          <w:sz w:val="20"/>
          <w:szCs w:val="20"/>
        </w:rPr>
        <w:t>mediante a celebração de contrato de repasse.</w:t>
      </w:r>
    </w:p>
    <w:p w:rsidR="001B1EA0" w:rsidRPr="00243BB5" w:rsidRDefault="001B1EA0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</w:t>
      </w:r>
      <w:r w:rsidR="00C8574E" w:rsidRPr="00243BB5">
        <w:rPr>
          <w:rFonts w:cs="Arial"/>
          <w:i/>
          <w:sz w:val="20"/>
          <w:szCs w:val="20"/>
        </w:rPr>
        <w:t>.6</w:t>
      </w:r>
      <w:r w:rsidRPr="00243BB5">
        <w:rPr>
          <w:rFonts w:cs="Arial"/>
          <w:i/>
          <w:sz w:val="20"/>
          <w:szCs w:val="20"/>
        </w:rPr>
        <w:t xml:space="preserve"> –</w:t>
      </w:r>
      <w:proofErr w:type="gramStart"/>
      <w:r w:rsidRPr="00243BB5">
        <w:rPr>
          <w:rFonts w:cs="Arial"/>
          <w:i/>
          <w:sz w:val="20"/>
          <w:szCs w:val="20"/>
        </w:rPr>
        <w:t xml:space="preserve">  </w:t>
      </w:r>
      <w:proofErr w:type="gramEnd"/>
      <w:r w:rsidRPr="00243BB5">
        <w:rPr>
          <w:rFonts w:cs="Arial"/>
          <w:i/>
          <w:sz w:val="20"/>
          <w:szCs w:val="20"/>
        </w:rPr>
        <w:t>Contratado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Pr="00243BB5">
        <w:rPr>
          <w:rFonts w:cs="Arial"/>
          <w:sz w:val="20"/>
          <w:szCs w:val="20"/>
        </w:rPr>
        <w:t xml:space="preserve">É o órgão ou a entidade da administração pública direta e indireta, de qualquer esfera de </w:t>
      </w:r>
      <w:r w:rsidR="00E045CF" w:rsidRPr="00243BB5">
        <w:rPr>
          <w:rFonts w:cs="Arial"/>
          <w:sz w:val="20"/>
          <w:szCs w:val="20"/>
        </w:rPr>
        <w:t>governo, bem como entidade sem fins lucrativos, com a qual a administração federal pactua a execução de contrato de repasse.</w:t>
      </w:r>
    </w:p>
    <w:p w:rsidR="00E045CF" w:rsidRPr="00243BB5" w:rsidRDefault="00E045CF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C8574E" w:rsidRPr="00243BB5">
        <w:rPr>
          <w:rFonts w:cs="Arial"/>
          <w:i/>
          <w:sz w:val="20"/>
          <w:szCs w:val="20"/>
        </w:rPr>
        <w:t>7</w:t>
      </w:r>
      <w:r w:rsidRPr="00243BB5">
        <w:rPr>
          <w:rFonts w:cs="Arial"/>
          <w:i/>
          <w:sz w:val="20"/>
          <w:szCs w:val="20"/>
        </w:rPr>
        <w:t xml:space="preserve"> – Interveniente</w:t>
      </w:r>
      <w:proofErr w:type="gramStart"/>
      <w:r w:rsidRPr="00243BB5">
        <w:rPr>
          <w:rFonts w:cs="Arial"/>
          <w:i/>
          <w:sz w:val="20"/>
          <w:szCs w:val="20"/>
        </w:rPr>
        <w:t xml:space="preserve"> </w:t>
      </w:r>
      <w:r w:rsidR="0063449F" w:rsidRPr="00243BB5">
        <w:rPr>
          <w:rFonts w:cs="Arial"/>
          <w:i/>
          <w:sz w:val="20"/>
          <w:szCs w:val="20"/>
        </w:rPr>
        <w:t xml:space="preserve"> </w:t>
      </w:r>
      <w:proofErr w:type="gramEnd"/>
      <w:r w:rsidR="0063449F" w:rsidRPr="00243BB5">
        <w:rPr>
          <w:rFonts w:cs="Arial"/>
          <w:i/>
          <w:sz w:val="20"/>
          <w:szCs w:val="20"/>
        </w:rPr>
        <w:t xml:space="preserve">- </w:t>
      </w:r>
      <w:r w:rsidRPr="00243BB5">
        <w:rPr>
          <w:rFonts w:cs="Arial"/>
          <w:sz w:val="20"/>
          <w:szCs w:val="20"/>
        </w:rPr>
        <w:t xml:space="preserve">É o órgão ou a entidade da administração pública </w:t>
      </w:r>
      <w:r w:rsidR="00C8574E" w:rsidRPr="00243BB5">
        <w:rPr>
          <w:rFonts w:cs="Arial"/>
          <w:sz w:val="20"/>
          <w:szCs w:val="20"/>
        </w:rPr>
        <w:t xml:space="preserve">federal, estadual ou municipal </w:t>
      </w:r>
      <w:r w:rsidRPr="00243BB5">
        <w:rPr>
          <w:rFonts w:cs="Arial"/>
          <w:sz w:val="20"/>
          <w:szCs w:val="20"/>
        </w:rPr>
        <w:t xml:space="preserve">ou </w:t>
      </w:r>
      <w:r w:rsidR="00C8574E" w:rsidRPr="00243BB5">
        <w:rPr>
          <w:rFonts w:cs="Arial"/>
          <w:sz w:val="20"/>
          <w:szCs w:val="20"/>
        </w:rPr>
        <w:t xml:space="preserve">ainda, </w:t>
      </w:r>
      <w:r w:rsidRPr="00243BB5">
        <w:rPr>
          <w:rFonts w:cs="Arial"/>
          <w:sz w:val="20"/>
          <w:szCs w:val="20"/>
        </w:rPr>
        <w:t xml:space="preserve">entidade privada que </w:t>
      </w:r>
      <w:r w:rsidR="00C8574E" w:rsidRPr="00243BB5">
        <w:rPr>
          <w:rFonts w:cs="Arial"/>
          <w:sz w:val="20"/>
          <w:szCs w:val="20"/>
        </w:rPr>
        <w:t xml:space="preserve">venha a tomar </w:t>
      </w:r>
      <w:r w:rsidRPr="00243BB5">
        <w:rPr>
          <w:rFonts w:cs="Arial"/>
          <w:sz w:val="20"/>
          <w:szCs w:val="20"/>
        </w:rPr>
        <w:t>part</w:t>
      </w:r>
      <w:r w:rsidR="00C8574E" w:rsidRPr="00243BB5">
        <w:rPr>
          <w:rFonts w:cs="Arial"/>
          <w:sz w:val="20"/>
          <w:szCs w:val="20"/>
        </w:rPr>
        <w:t>e</w:t>
      </w:r>
      <w:r w:rsidRPr="00243BB5">
        <w:rPr>
          <w:rFonts w:cs="Arial"/>
          <w:sz w:val="20"/>
          <w:szCs w:val="20"/>
        </w:rPr>
        <w:t xml:space="preserve"> </w:t>
      </w:r>
      <w:r w:rsidR="00C8574E" w:rsidRPr="00243BB5">
        <w:rPr>
          <w:rFonts w:cs="Arial"/>
          <w:sz w:val="20"/>
          <w:szCs w:val="20"/>
        </w:rPr>
        <w:t>no</w:t>
      </w:r>
      <w:r w:rsidRPr="00243BB5">
        <w:rPr>
          <w:rFonts w:cs="Arial"/>
          <w:sz w:val="20"/>
          <w:szCs w:val="20"/>
        </w:rPr>
        <w:t xml:space="preserve"> convênio </w:t>
      </w:r>
      <w:r w:rsidR="00C8574E" w:rsidRPr="00243BB5">
        <w:rPr>
          <w:rFonts w:cs="Arial"/>
          <w:sz w:val="20"/>
          <w:szCs w:val="20"/>
        </w:rPr>
        <w:t>assumindo</w:t>
      </w:r>
      <w:r w:rsidRPr="00243BB5">
        <w:rPr>
          <w:rFonts w:cs="Arial"/>
          <w:sz w:val="20"/>
          <w:szCs w:val="20"/>
        </w:rPr>
        <w:t xml:space="preserve"> obrigações em nome próprio</w:t>
      </w:r>
      <w:r w:rsidR="00C8574E" w:rsidRPr="00243BB5">
        <w:rPr>
          <w:rFonts w:cs="Arial"/>
          <w:sz w:val="20"/>
          <w:szCs w:val="20"/>
        </w:rPr>
        <w:t xml:space="preserve"> ( terceiros interessados ).</w:t>
      </w:r>
      <w:r w:rsidRPr="00243BB5">
        <w:rPr>
          <w:rFonts w:cs="Arial"/>
          <w:sz w:val="20"/>
          <w:szCs w:val="20"/>
        </w:rPr>
        <w:t xml:space="preserve"> </w:t>
      </w:r>
    </w:p>
    <w:p w:rsidR="00E045CF" w:rsidRPr="00243BB5" w:rsidRDefault="00E045CF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1.</w:t>
      </w:r>
      <w:r w:rsidR="00C8574E" w:rsidRPr="00243BB5">
        <w:rPr>
          <w:rFonts w:cs="Arial"/>
          <w:i/>
          <w:sz w:val="20"/>
          <w:szCs w:val="20"/>
        </w:rPr>
        <w:t>8</w:t>
      </w:r>
      <w:r w:rsidRPr="00243BB5">
        <w:rPr>
          <w:rFonts w:cs="Arial"/>
          <w:i/>
          <w:sz w:val="20"/>
          <w:szCs w:val="20"/>
        </w:rPr>
        <w:t xml:space="preserve"> – </w:t>
      </w:r>
      <w:r w:rsidR="00C8574E" w:rsidRPr="00243BB5">
        <w:rPr>
          <w:rFonts w:cs="Arial"/>
          <w:i/>
          <w:sz w:val="20"/>
          <w:szCs w:val="20"/>
        </w:rPr>
        <w:t>R</w:t>
      </w:r>
      <w:r w:rsidRPr="00243BB5">
        <w:rPr>
          <w:rFonts w:cs="Arial"/>
          <w:i/>
          <w:sz w:val="20"/>
          <w:szCs w:val="20"/>
        </w:rPr>
        <w:t>esponsável pelo Proponente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="00C8574E" w:rsidRPr="00243BB5">
        <w:rPr>
          <w:rFonts w:cs="Arial"/>
          <w:sz w:val="20"/>
          <w:szCs w:val="20"/>
        </w:rPr>
        <w:t xml:space="preserve">O representante legal ou </w:t>
      </w:r>
      <w:r w:rsidRPr="00243BB5">
        <w:rPr>
          <w:rFonts w:cs="Arial"/>
          <w:sz w:val="20"/>
          <w:szCs w:val="20"/>
        </w:rPr>
        <w:t xml:space="preserve">dirigente </w:t>
      </w:r>
      <w:r w:rsidR="00C8574E" w:rsidRPr="00243BB5">
        <w:rPr>
          <w:rFonts w:cs="Arial"/>
          <w:sz w:val="20"/>
          <w:szCs w:val="20"/>
        </w:rPr>
        <w:t>de nível hierárquico superior</w:t>
      </w:r>
      <w:r w:rsidR="00F93F91" w:rsidRPr="00243BB5">
        <w:rPr>
          <w:rFonts w:cs="Arial"/>
          <w:sz w:val="20"/>
          <w:szCs w:val="20"/>
        </w:rPr>
        <w:t xml:space="preserve"> </w:t>
      </w:r>
      <w:proofErr w:type="gramStart"/>
      <w:r w:rsidR="00F93F91" w:rsidRPr="00243BB5">
        <w:rPr>
          <w:rFonts w:cs="Arial"/>
          <w:sz w:val="20"/>
          <w:szCs w:val="20"/>
        </w:rPr>
        <w:t xml:space="preserve">( </w:t>
      </w:r>
      <w:proofErr w:type="gramEnd"/>
      <w:r w:rsidR="00F93F91" w:rsidRPr="00243BB5">
        <w:rPr>
          <w:rFonts w:cs="Arial"/>
          <w:sz w:val="20"/>
          <w:szCs w:val="20"/>
        </w:rPr>
        <w:t>Presidente)</w:t>
      </w:r>
      <w:r w:rsidR="00C8574E" w:rsidRPr="00243BB5">
        <w:rPr>
          <w:rFonts w:cs="Arial"/>
          <w:sz w:val="20"/>
          <w:szCs w:val="20"/>
        </w:rPr>
        <w:t xml:space="preserve">. </w:t>
      </w:r>
    </w:p>
    <w:p w:rsidR="00607B98" w:rsidRPr="00243BB5" w:rsidRDefault="00E045CF" w:rsidP="00323970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i/>
          <w:sz w:val="20"/>
          <w:szCs w:val="20"/>
        </w:rPr>
        <w:t>2</w:t>
      </w:r>
      <w:proofErr w:type="gramEnd"/>
      <w:r w:rsidRPr="00243BB5">
        <w:rPr>
          <w:rFonts w:cs="Arial"/>
          <w:i/>
          <w:sz w:val="20"/>
          <w:szCs w:val="20"/>
        </w:rPr>
        <w:t xml:space="preserve"> – Credenciamento</w:t>
      </w:r>
      <w:r w:rsidR="00C8574E" w:rsidRPr="00243BB5">
        <w:rPr>
          <w:rFonts w:cs="Arial"/>
          <w:i/>
          <w:sz w:val="20"/>
          <w:szCs w:val="20"/>
        </w:rPr>
        <w:t>/</w:t>
      </w:r>
      <w:r w:rsidRPr="00243BB5">
        <w:rPr>
          <w:rFonts w:cs="Arial"/>
          <w:i/>
          <w:sz w:val="20"/>
          <w:szCs w:val="20"/>
        </w:rPr>
        <w:t xml:space="preserve"> Cadastramento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="00C8574E" w:rsidRPr="00243BB5">
        <w:rPr>
          <w:rFonts w:cs="Arial"/>
          <w:sz w:val="20"/>
          <w:szCs w:val="20"/>
        </w:rPr>
        <w:t>Não existem modelos para a declaração</w:t>
      </w:r>
      <w:r w:rsidR="00A82A64" w:rsidRPr="00243BB5">
        <w:rPr>
          <w:rFonts w:cs="Arial"/>
          <w:sz w:val="20"/>
          <w:szCs w:val="20"/>
        </w:rPr>
        <w:t xml:space="preserve"> de credenciamento</w:t>
      </w:r>
      <w:r w:rsidR="00C8574E" w:rsidRPr="00243BB5">
        <w:rPr>
          <w:rFonts w:cs="Arial"/>
          <w:sz w:val="20"/>
          <w:szCs w:val="20"/>
        </w:rPr>
        <w:t xml:space="preserve">. A declaração </w:t>
      </w:r>
      <w:r w:rsidRPr="00243BB5">
        <w:rPr>
          <w:rFonts w:cs="Arial"/>
          <w:sz w:val="20"/>
          <w:szCs w:val="20"/>
        </w:rPr>
        <w:t xml:space="preserve">deve ser assinada pelo dirigente </w:t>
      </w:r>
      <w:r w:rsidR="00C8574E" w:rsidRPr="00243BB5">
        <w:rPr>
          <w:rFonts w:cs="Arial"/>
          <w:sz w:val="20"/>
          <w:szCs w:val="20"/>
        </w:rPr>
        <w:t xml:space="preserve">de nível hierárquico superior </w:t>
      </w:r>
      <w:r w:rsidRPr="00243BB5">
        <w:rPr>
          <w:rFonts w:cs="Arial"/>
          <w:sz w:val="20"/>
          <w:szCs w:val="20"/>
        </w:rPr>
        <w:t xml:space="preserve">da entidade </w:t>
      </w:r>
      <w:r w:rsidR="00C8574E" w:rsidRPr="00243BB5">
        <w:rPr>
          <w:rFonts w:cs="Arial"/>
          <w:sz w:val="20"/>
          <w:szCs w:val="20"/>
        </w:rPr>
        <w:t>ou associação.</w:t>
      </w:r>
    </w:p>
    <w:p w:rsidR="00C8574E" w:rsidRPr="00243BB5" w:rsidRDefault="00607B98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i/>
          <w:sz w:val="20"/>
          <w:szCs w:val="20"/>
        </w:rPr>
        <w:t>2.</w:t>
      </w:r>
      <w:r w:rsidR="00C8574E" w:rsidRPr="00243BB5">
        <w:rPr>
          <w:rFonts w:cs="Arial"/>
          <w:i/>
          <w:sz w:val="20"/>
          <w:szCs w:val="20"/>
        </w:rPr>
        <w:t>1</w:t>
      </w:r>
      <w:r w:rsidRPr="00243BB5">
        <w:rPr>
          <w:rFonts w:cs="Arial"/>
          <w:i/>
          <w:sz w:val="20"/>
          <w:szCs w:val="20"/>
        </w:rPr>
        <w:t xml:space="preserve"> – </w:t>
      </w:r>
      <w:r w:rsidR="00C8574E" w:rsidRPr="00243BB5">
        <w:rPr>
          <w:rFonts w:cs="Arial"/>
          <w:i/>
          <w:sz w:val="20"/>
          <w:szCs w:val="20"/>
        </w:rPr>
        <w:t>A</w:t>
      </w:r>
      <w:r w:rsidRPr="00243BB5">
        <w:rPr>
          <w:rFonts w:cs="Arial"/>
          <w:i/>
          <w:sz w:val="20"/>
          <w:szCs w:val="20"/>
        </w:rPr>
        <w:t>valia</w:t>
      </w:r>
      <w:r w:rsidR="00C8574E" w:rsidRPr="00243BB5">
        <w:rPr>
          <w:rFonts w:cs="Arial"/>
          <w:i/>
          <w:sz w:val="20"/>
          <w:szCs w:val="20"/>
        </w:rPr>
        <w:t>ção da</w:t>
      </w:r>
      <w:r w:rsidRPr="00243BB5">
        <w:rPr>
          <w:rFonts w:cs="Arial"/>
          <w:i/>
          <w:sz w:val="20"/>
          <w:szCs w:val="20"/>
        </w:rPr>
        <w:t xml:space="preserve"> qualificação técnica e </w:t>
      </w:r>
      <w:r w:rsidR="00C8574E" w:rsidRPr="00243BB5">
        <w:rPr>
          <w:rFonts w:cs="Arial"/>
          <w:i/>
          <w:sz w:val="20"/>
          <w:szCs w:val="20"/>
        </w:rPr>
        <w:t xml:space="preserve">da </w:t>
      </w:r>
      <w:r w:rsidRPr="00243BB5">
        <w:rPr>
          <w:rFonts w:cs="Arial"/>
          <w:i/>
          <w:sz w:val="20"/>
          <w:szCs w:val="20"/>
        </w:rPr>
        <w:t>capacidade operacional de uma entidade conveniada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="00C8574E" w:rsidRPr="00243BB5">
        <w:rPr>
          <w:rFonts w:cs="Arial"/>
          <w:sz w:val="20"/>
          <w:szCs w:val="20"/>
        </w:rPr>
        <w:t xml:space="preserve">Esta avaliação será feita com fundamento </w:t>
      </w:r>
      <w:r w:rsidRPr="00243BB5">
        <w:rPr>
          <w:rFonts w:cs="Arial"/>
          <w:sz w:val="20"/>
          <w:szCs w:val="20"/>
        </w:rPr>
        <w:t xml:space="preserve">na declaração de funcionamento regular nos </w:t>
      </w:r>
      <w:proofErr w:type="gramStart"/>
      <w:r w:rsidRPr="00243BB5">
        <w:rPr>
          <w:rFonts w:cs="Arial"/>
          <w:sz w:val="20"/>
          <w:szCs w:val="20"/>
        </w:rPr>
        <w:t>3</w:t>
      </w:r>
      <w:proofErr w:type="gramEnd"/>
      <w:r w:rsidRPr="00243BB5">
        <w:rPr>
          <w:rFonts w:cs="Arial"/>
          <w:sz w:val="20"/>
          <w:szCs w:val="20"/>
        </w:rPr>
        <w:t xml:space="preserve"> (três) anos anteriores ao credenciamento, emitida por 3 (três) autoridades do local de sua sede</w:t>
      </w:r>
      <w:r w:rsidR="00C8574E" w:rsidRPr="00243BB5">
        <w:rPr>
          <w:rFonts w:cs="Arial"/>
          <w:sz w:val="20"/>
          <w:szCs w:val="20"/>
        </w:rPr>
        <w:t>.</w:t>
      </w:r>
    </w:p>
    <w:p w:rsidR="00243BB5" w:rsidRDefault="00243BB5" w:rsidP="00323970">
      <w:pPr>
        <w:spacing w:line="360" w:lineRule="auto"/>
        <w:jc w:val="both"/>
        <w:rPr>
          <w:rFonts w:cs="Arial"/>
          <w:i/>
          <w:sz w:val="20"/>
          <w:szCs w:val="20"/>
        </w:rPr>
      </w:pPr>
    </w:p>
    <w:p w:rsidR="00503115" w:rsidRPr="00243BB5" w:rsidRDefault="00607B98" w:rsidP="00323970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i/>
          <w:sz w:val="20"/>
          <w:szCs w:val="20"/>
        </w:rPr>
        <w:lastRenderedPageBreak/>
        <w:t>3 – Contrapartida</w:t>
      </w:r>
      <w:proofErr w:type="gramEnd"/>
      <w:r w:rsidR="00C8574E" w:rsidRPr="00243BB5">
        <w:rPr>
          <w:rFonts w:cs="Arial"/>
          <w:i/>
          <w:sz w:val="20"/>
          <w:szCs w:val="20"/>
        </w:rPr>
        <w:t>/</w:t>
      </w:r>
      <w:r w:rsidRPr="00243BB5">
        <w:rPr>
          <w:rFonts w:cs="Arial"/>
          <w:i/>
          <w:sz w:val="20"/>
          <w:szCs w:val="20"/>
        </w:rPr>
        <w:t xml:space="preserve"> Pl</w:t>
      </w:r>
      <w:r w:rsidR="008E7809" w:rsidRPr="00243BB5">
        <w:rPr>
          <w:rFonts w:cs="Arial"/>
          <w:i/>
          <w:sz w:val="20"/>
          <w:szCs w:val="20"/>
        </w:rPr>
        <w:t>ano de Trabalho</w:t>
      </w:r>
      <w:r w:rsidR="0063449F" w:rsidRPr="00243BB5">
        <w:rPr>
          <w:rFonts w:cs="Arial"/>
          <w:i/>
          <w:sz w:val="20"/>
          <w:szCs w:val="20"/>
        </w:rPr>
        <w:t xml:space="preserve"> - </w:t>
      </w:r>
      <w:r w:rsidR="008E7809" w:rsidRPr="00243BB5">
        <w:rPr>
          <w:rFonts w:cs="Arial"/>
          <w:sz w:val="20"/>
          <w:szCs w:val="20"/>
        </w:rPr>
        <w:t xml:space="preserve">O Termo de Referência é um documento </w:t>
      </w:r>
      <w:r w:rsidR="00503115" w:rsidRPr="00243BB5">
        <w:rPr>
          <w:rFonts w:cs="Arial"/>
          <w:sz w:val="20"/>
          <w:szCs w:val="20"/>
        </w:rPr>
        <w:t>que deverá detalhar todas as</w:t>
      </w:r>
      <w:r w:rsidR="008E7809" w:rsidRPr="00243BB5">
        <w:rPr>
          <w:rFonts w:cs="Arial"/>
          <w:sz w:val="20"/>
          <w:szCs w:val="20"/>
        </w:rPr>
        <w:t xml:space="preserve"> características</w:t>
      </w:r>
      <w:r w:rsidR="00503115" w:rsidRPr="00243BB5">
        <w:rPr>
          <w:rFonts w:cs="Arial"/>
          <w:sz w:val="20"/>
          <w:szCs w:val="20"/>
        </w:rPr>
        <w:t xml:space="preserve"> técnicas do objeto do convênio, com a apresentação de dados suficientes para que a administração pública possa avaliar os custos (com </w:t>
      </w:r>
      <w:r w:rsidR="008E7809" w:rsidRPr="00243BB5">
        <w:rPr>
          <w:rFonts w:cs="Arial"/>
          <w:sz w:val="20"/>
          <w:szCs w:val="20"/>
        </w:rPr>
        <w:t xml:space="preserve"> orçamento detalhado</w:t>
      </w:r>
      <w:r w:rsidR="00503115" w:rsidRPr="00243BB5">
        <w:rPr>
          <w:rFonts w:cs="Arial"/>
          <w:sz w:val="20"/>
          <w:szCs w:val="20"/>
        </w:rPr>
        <w:t xml:space="preserve">) </w:t>
      </w:r>
      <w:r w:rsidR="008E7809" w:rsidRPr="00243BB5">
        <w:rPr>
          <w:rFonts w:cs="Arial"/>
          <w:sz w:val="20"/>
          <w:szCs w:val="20"/>
        </w:rPr>
        <w:t>, a definição dos métodos e o prazo de execução do objeto</w:t>
      </w:r>
      <w:r w:rsidR="00503115" w:rsidRPr="00243BB5">
        <w:rPr>
          <w:rFonts w:cs="Arial"/>
          <w:sz w:val="20"/>
          <w:szCs w:val="20"/>
        </w:rPr>
        <w:t xml:space="preserve"> do convênio</w:t>
      </w:r>
      <w:r w:rsidR="008E7809" w:rsidRPr="00243BB5">
        <w:rPr>
          <w:rFonts w:cs="Arial"/>
          <w:sz w:val="20"/>
          <w:szCs w:val="20"/>
        </w:rPr>
        <w:t xml:space="preserve">. </w:t>
      </w:r>
    </w:p>
    <w:p w:rsidR="00503115" w:rsidRPr="00243BB5" w:rsidRDefault="00503115" w:rsidP="00323970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proofErr w:type="gramStart"/>
      <w:r w:rsidRPr="00243BB5">
        <w:rPr>
          <w:rFonts w:cs="Arial"/>
          <w:b/>
          <w:sz w:val="20"/>
          <w:szCs w:val="20"/>
          <w:u w:val="single"/>
        </w:rPr>
        <w:t>2 - Legislação</w:t>
      </w:r>
      <w:proofErr w:type="gramEnd"/>
      <w:r w:rsidRPr="00243BB5">
        <w:rPr>
          <w:rFonts w:cs="Arial"/>
          <w:b/>
          <w:sz w:val="20"/>
          <w:szCs w:val="20"/>
          <w:u w:val="single"/>
        </w:rPr>
        <w:t xml:space="preserve"> de regência</w:t>
      </w:r>
    </w:p>
    <w:p w:rsidR="008532CE" w:rsidRPr="00243BB5" w:rsidRDefault="008532C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 legislação básica que trata da celebração de convênios é a Lei nº 8.666, de 21 de junho de 1993, que cuida das licitações e contratos da Administração Pública.</w:t>
      </w:r>
    </w:p>
    <w:p w:rsidR="00810B47" w:rsidRPr="00243BB5" w:rsidRDefault="00810B47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Em princípio, para a celebração de contratos com a Administração Pública (inclusive decorrentes da celebração de convênios</w:t>
      </w:r>
      <w:proofErr w:type="gramStart"/>
      <w:r w:rsidRPr="00243BB5">
        <w:rPr>
          <w:rFonts w:cs="Arial"/>
          <w:sz w:val="20"/>
          <w:szCs w:val="20"/>
        </w:rPr>
        <w:t xml:space="preserve"> )</w:t>
      </w:r>
      <w:proofErr w:type="gramEnd"/>
      <w:r w:rsidRPr="00243BB5">
        <w:rPr>
          <w:rFonts w:cs="Arial"/>
          <w:sz w:val="20"/>
          <w:szCs w:val="20"/>
        </w:rPr>
        <w:t>, a lei acima citada exige alguns requisitos básicos, quais sejam:</w:t>
      </w:r>
    </w:p>
    <w:p w:rsidR="00810B47" w:rsidRPr="00243BB5" w:rsidRDefault="00A4209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- </w:t>
      </w:r>
      <w:r w:rsidR="00810B47" w:rsidRPr="00243BB5">
        <w:rPr>
          <w:rFonts w:cs="Arial"/>
          <w:sz w:val="20"/>
          <w:szCs w:val="20"/>
        </w:rPr>
        <w:t xml:space="preserve">Habilitação jurídica </w:t>
      </w:r>
      <w:proofErr w:type="gramStart"/>
      <w:r w:rsidR="00810B47" w:rsidRPr="00243BB5">
        <w:rPr>
          <w:rFonts w:cs="Arial"/>
          <w:sz w:val="20"/>
          <w:szCs w:val="20"/>
        </w:rPr>
        <w:t xml:space="preserve">( </w:t>
      </w:r>
      <w:proofErr w:type="gramEnd"/>
      <w:r w:rsidR="00810B47" w:rsidRPr="00243BB5">
        <w:rPr>
          <w:rFonts w:cs="Arial"/>
          <w:sz w:val="20"/>
          <w:szCs w:val="20"/>
        </w:rPr>
        <w:t>ato constitutivo registrado )</w:t>
      </w:r>
      <w:r w:rsidRPr="00243BB5">
        <w:rPr>
          <w:rFonts w:cs="Arial"/>
          <w:sz w:val="20"/>
          <w:szCs w:val="20"/>
        </w:rPr>
        <w:t>;</w:t>
      </w:r>
    </w:p>
    <w:p w:rsidR="00810B47" w:rsidRPr="00243BB5" w:rsidRDefault="00A4209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- Qualificação técnica </w:t>
      </w:r>
      <w:proofErr w:type="gramStart"/>
      <w:r w:rsidRPr="00243BB5">
        <w:rPr>
          <w:rFonts w:cs="Arial"/>
          <w:sz w:val="20"/>
          <w:szCs w:val="20"/>
        </w:rPr>
        <w:t xml:space="preserve">( </w:t>
      </w:r>
      <w:proofErr w:type="gramEnd"/>
      <w:r w:rsidRPr="00243BB5">
        <w:rPr>
          <w:rFonts w:cs="Arial"/>
          <w:sz w:val="20"/>
          <w:szCs w:val="20"/>
        </w:rPr>
        <w:t xml:space="preserve">antecedentes, capacidade técnica, conhecimentos, </w:t>
      </w:r>
      <w:proofErr w:type="spellStart"/>
      <w:r w:rsidRPr="00243BB5">
        <w:rPr>
          <w:rFonts w:cs="Arial"/>
          <w:sz w:val="20"/>
          <w:szCs w:val="20"/>
        </w:rPr>
        <w:t>etc</w:t>
      </w:r>
      <w:proofErr w:type="spellEnd"/>
      <w:r w:rsidRPr="00243BB5">
        <w:rPr>
          <w:rFonts w:cs="Arial"/>
          <w:sz w:val="20"/>
          <w:szCs w:val="20"/>
        </w:rPr>
        <w:t>);</w:t>
      </w:r>
    </w:p>
    <w:p w:rsidR="00810B47" w:rsidRPr="00243BB5" w:rsidRDefault="00A4209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- Qualificação econômico – financeira</w:t>
      </w:r>
      <w:r w:rsidR="00F93F91" w:rsidRPr="00243BB5">
        <w:rPr>
          <w:rFonts w:cs="Arial"/>
          <w:sz w:val="20"/>
          <w:szCs w:val="20"/>
        </w:rPr>
        <w:t xml:space="preserve"> </w:t>
      </w:r>
      <w:proofErr w:type="gramStart"/>
      <w:r w:rsidR="00F93F91" w:rsidRPr="00243BB5">
        <w:rPr>
          <w:rFonts w:cs="Arial"/>
          <w:sz w:val="20"/>
          <w:szCs w:val="20"/>
        </w:rPr>
        <w:t xml:space="preserve">( </w:t>
      </w:r>
      <w:proofErr w:type="gramEnd"/>
      <w:r w:rsidR="00F93F91" w:rsidRPr="00243BB5">
        <w:rPr>
          <w:rFonts w:cs="Arial"/>
          <w:sz w:val="20"/>
          <w:szCs w:val="20"/>
        </w:rPr>
        <w:t xml:space="preserve">capacidade econômica) </w:t>
      </w:r>
      <w:r w:rsidRPr="00243BB5">
        <w:rPr>
          <w:rFonts w:cs="Arial"/>
          <w:sz w:val="20"/>
          <w:szCs w:val="20"/>
        </w:rPr>
        <w:t>; e</w:t>
      </w:r>
    </w:p>
    <w:p w:rsidR="00A4209E" w:rsidRPr="00243BB5" w:rsidRDefault="00A4209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- Regularidade Fiscal e Trabalhista</w:t>
      </w:r>
      <w:r w:rsidR="00F93F91" w:rsidRPr="00243BB5">
        <w:rPr>
          <w:rFonts w:cs="Arial"/>
          <w:sz w:val="20"/>
          <w:szCs w:val="20"/>
        </w:rPr>
        <w:t xml:space="preserve"> </w:t>
      </w:r>
      <w:proofErr w:type="gramStart"/>
      <w:r w:rsidR="00F93F91" w:rsidRPr="00243BB5">
        <w:rPr>
          <w:rFonts w:cs="Arial"/>
          <w:sz w:val="20"/>
          <w:szCs w:val="20"/>
        </w:rPr>
        <w:t xml:space="preserve">( </w:t>
      </w:r>
      <w:proofErr w:type="gramEnd"/>
      <w:r w:rsidR="00F93F91" w:rsidRPr="00243BB5">
        <w:rPr>
          <w:rFonts w:cs="Arial"/>
          <w:sz w:val="20"/>
          <w:szCs w:val="20"/>
        </w:rPr>
        <w:t>certidões negativas )</w:t>
      </w:r>
      <w:r w:rsidRPr="00243BB5">
        <w:rPr>
          <w:rFonts w:cs="Arial"/>
          <w:sz w:val="20"/>
          <w:szCs w:val="20"/>
        </w:rPr>
        <w:t>.</w:t>
      </w:r>
    </w:p>
    <w:p w:rsidR="008532CE" w:rsidRPr="00243BB5" w:rsidRDefault="00A4209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 Lei 8.666/93</w:t>
      </w:r>
      <w:r w:rsidR="008532CE" w:rsidRPr="00243BB5">
        <w:rPr>
          <w:rFonts w:cs="Arial"/>
          <w:sz w:val="20"/>
          <w:szCs w:val="20"/>
        </w:rPr>
        <w:t xml:space="preserve">, em seu artigo 116, estabelece as principais condições para a celebração de convênios. </w:t>
      </w:r>
    </w:p>
    <w:p w:rsidR="00801A97" w:rsidRPr="00243BB5" w:rsidRDefault="008532CE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O órgão da Administração, antes da celebração do convênio, deverá aprovar o competente plano de trabalho da entidade interessada, o qual deverá conter todas as informações abaixo discriminadas:</w:t>
      </w:r>
      <w:proofErr w:type="gramStart"/>
      <w:r w:rsidRPr="00243BB5">
        <w:rPr>
          <w:rFonts w:cs="Arial"/>
          <w:sz w:val="20"/>
          <w:szCs w:val="20"/>
        </w:rPr>
        <w:t xml:space="preserve">   </w:t>
      </w:r>
    </w:p>
    <w:p w:rsidR="005B4BA1" w:rsidRPr="00243BB5" w:rsidRDefault="005B4BA1" w:rsidP="008532CE">
      <w:pPr>
        <w:pStyle w:val="NormalWeb"/>
        <w:ind w:firstLine="240"/>
        <w:jc w:val="both"/>
        <w:rPr>
          <w:rFonts w:asciiTheme="minorHAnsi" w:hAnsiTheme="minorHAnsi" w:cs="Arial"/>
          <w:sz w:val="20"/>
          <w:szCs w:val="20"/>
        </w:rPr>
      </w:pPr>
      <w:bookmarkStart w:id="0" w:name="art116"/>
      <w:bookmarkEnd w:id="0"/>
      <w:proofErr w:type="gramEnd"/>
      <w:r w:rsidRPr="00243BB5">
        <w:rPr>
          <w:rFonts w:asciiTheme="minorHAnsi" w:hAnsiTheme="minorHAnsi" w:cs="Arial"/>
          <w:sz w:val="20"/>
          <w:szCs w:val="20"/>
        </w:rPr>
        <w:t xml:space="preserve">I - identificação do objeto a ser executado; </w:t>
      </w:r>
    </w:p>
    <w:p w:rsidR="005B4BA1" w:rsidRPr="00243BB5" w:rsidRDefault="005B4BA1" w:rsidP="008532CE">
      <w:pPr>
        <w:pStyle w:val="NormalWeb"/>
        <w:ind w:firstLine="240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 xml:space="preserve">II - metas a serem atingidas; </w:t>
      </w:r>
    </w:p>
    <w:p w:rsidR="005B4BA1" w:rsidRPr="00243BB5" w:rsidRDefault="005B4BA1" w:rsidP="008532CE">
      <w:pPr>
        <w:pStyle w:val="NormalWeb"/>
        <w:ind w:firstLine="240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 xml:space="preserve">III - etapas ou fases de execução; </w:t>
      </w:r>
    </w:p>
    <w:p w:rsidR="005B4BA1" w:rsidRPr="00243BB5" w:rsidRDefault="005B4BA1" w:rsidP="008532CE">
      <w:pPr>
        <w:pStyle w:val="NormalWeb"/>
        <w:ind w:firstLine="240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 xml:space="preserve">IV - plano de aplicação dos recursos financeiros; </w:t>
      </w:r>
    </w:p>
    <w:p w:rsidR="00243BB5" w:rsidRDefault="005B4BA1" w:rsidP="00F93F91">
      <w:pPr>
        <w:pStyle w:val="NormalWeb"/>
        <w:spacing w:line="360" w:lineRule="auto"/>
        <w:ind w:firstLine="238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 xml:space="preserve">V - cronograma de desembolso; </w:t>
      </w:r>
    </w:p>
    <w:p w:rsidR="005B4BA1" w:rsidRPr="00243BB5" w:rsidRDefault="005B4BA1" w:rsidP="00F93F91">
      <w:pPr>
        <w:pStyle w:val="NormalWeb"/>
        <w:spacing w:line="360" w:lineRule="auto"/>
        <w:ind w:firstLine="238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>VI - previsão de início e fim da execução do objeto, bem assim da conclusão das etapas ou fases programadas</w:t>
      </w:r>
      <w:r w:rsidR="0080224C" w:rsidRPr="00243BB5">
        <w:rPr>
          <w:rFonts w:asciiTheme="minorHAnsi" w:hAnsiTheme="minorHAnsi" w:cs="Arial"/>
          <w:sz w:val="20"/>
          <w:szCs w:val="20"/>
        </w:rPr>
        <w:t>.</w:t>
      </w:r>
    </w:p>
    <w:p w:rsidR="008532CE" w:rsidRPr="00243BB5" w:rsidRDefault="008532CE" w:rsidP="008532CE">
      <w:pPr>
        <w:pStyle w:val="NormalWeb"/>
        <w:spacing w:line="360" w:lineRule="auto"/>
        <w:ind w:firstLine="238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 xml:space="preserve">A liberação dos recursos será feita em conformidade com o plano de aplicação </w:t>
      </w:r>
      <w:proofErr w:type="gramStart"/>
      <w:r w:rsidRPr="00243BB5">
        <w:rPr>
          <w:rFonts w:asciiTheme="minorHAnsi" w:hAnsiTheme="minorHAnsi" w:cs="Arial"/>
          <w:sz w:val="20"/>
          <w:szCs w:val="20"/>
        </w:rPr>
        <w:t>aprovado ,</w:t>
      </w:r>
      <w:proofErr w:type="gramEnd"/>
      <w:r w:rsidRPr="00243BB5">
        <w:rPr>
          <w:rFonts w:asciiTheme="minorHAnsi" w:hAnsiTheme="minorHAnsi" w:cs="Arial"/>
          <w:sz w:val="20"/>
          <w:szCs w:val="20"/>
        </w:rPr>
        <w:t xml:space="preserve"> desde que sejam observadas as normas necessárias e até que sejam sanadas irregularidades, tais como, falta de comprovação da correta aplicação dos recursos recebidos, desvio de finalidade na aplicação destes mesmos recursos, atrasos injustificados ou o inadimplemento das condições pactuadas no convênio.</w:t>
      </w:r>
    </w:p>
    <w:p w:rsidR="005B4BA1" w:rsidRPr="00243BB5" w:rsidRDefault="00F93F91" w:rsidP="003B4793">
      <w:pPr>
        <w:pStyle w:val="NormalWeb"/>
        <w:spacing w:line="360" w:lineRule="auto"/>
        <w:ind w:firstLine="240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lastRenderedPageBreak/>
        <w:t>O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s saldos de convênio, enquanto não utilizados, </w:t>
      </w:r>
      <w:r w:rsidR="003B4793" w:rsidRPr="00243BB5">
        <w:rPr>
          <w:rFonts w:asciiTheme="minorHAnsi" w:hAnsiTheme="minorHAnsi" w:cs="Arial"/>
          <w:sz w:val="20"/>
          <w:szCs w:val="20"/>
        </w:rPr>
        <w:t xml:space="preserve">deverão ser mantidos 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em cadernetas de </w:t>
      </w:r>
      <w:proofErr w:type="gramStart"/>
      <w:r w:rsidR="005B4BA1" w:rsidRPr="00243BB5">
        <w:rPr>
          <w:rFonts w:asciiTheme="minorHAnsi" w:hAnsiTheme="minorHAnsi" w:cs="Arial"/>
          <w:sz w:val="20"/>
          <w:szCs w:val="20"/>
        </w:rPr>
        <w:t>poupança</w:t>
      </w:r>
      <w:proofErr w:type="gramEnd"/>
      <w:r w:rsidR="005B4BA1" w:rsidRPr="00243BB5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5B4BA1" w:rsidRPr="00243BB5">
        <w:rPr>
          <w:rFonts w:asciiTheme="minorHAnsi" w:hAnsiTheme="minorHAnsi" w:cs="Arial"/>
          <w:sz w:val="20"/>
          <w:szCs w:val="20"/>
        </w:rPr>
        <w:t>de</w:t>
      </w:r>
      <w:proofErr w:type="gramEnd"/>
      <w:r w:rsidR="005B4BA1" w:rsidRPr="00243BB5">
        <w:rPr>
          <w:rFonts w:asciiTheme="minorHAnsi" w:hAnsiTheme="minorHAnsi" w:cs="Arial"/>
          <w:sz w:val="20"/>
          <w:szCs w:val="20"/>
        </w:rPr>
        <w:t xml:space="preserve"> </w:t>
      </w:r>
      <w:r w:rsidR="003B4793" w:rsidRPr="00243BB5">
        <w:rPr>
          <w:rFonts w:asciiTheme="minorHAnsi" w:hAnsiTheme="minorHAnsi" w:cs="Arial"/>
          <w:sz w:val="20"/>
          <w:szCs w:val="20"/>
        </w:rPr>
        <w:t>banco oficial. O</w:t>
      </w:r>
      <w:r w:rsidR="005B4BA1" w:rsidRPr="00243BB5">
        <w:rPr>
          <w:rFonts w:asciiTheme="minorHAnsi" w:hAnsiTheme="minorHAnsi" w:cs="Arial"/>
          <w:sz w:val="20"/>
          <w:szCs w:val="20"/>
        </w:rPr>
        <w:t>s re</w:t>
      </w:r>
      <w:r w:rsidR="003B4793" w:rsidRPr="00243BB5">
        <w:rPr>
          <w:rFonts w:asciiTheme="minorHAnsi" w:hAnsiTheme="minorHAnsi" w:cs="Arial"/>
          <w:sz w:val="20"/>
          <w:szCs w:val="20"/>
        </w:rPr>
        <w:t>ndimentos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financeir</w:t>
      </w:r>
      <w:r w:rsidR="003B4793" w:rsidRPr="00243BB5">
        <w:rPr>
          <w:rFonts w:asciiTheme="minorHAnsi" w:hAnsiTheme="minorHAnsi" w:cs="Arial"/>
          <w:sz w:val="20"/>
          <w:szCs w:val="20"/>
        </w:rPr>
        <w:t>o</w:t>
      </w:r>
      <w:r w:rsidR="005B4BA1" w:rsidRPr="00243BB5">
        <w:rPr>
          <w:rFonts w:asciiTheme="minorHAnsi" w:hAnsiTheme="minorHAnsi" w:cs="Arial"/>
          <w:sz w:val="20"/>
          <w:szCs w:val="20"/>
        </w:rPr>
        <w:t>s auferid</w:t>
      </w:r>
      <w:r w:rsidR="003B4793" w:rsidRPr="00243BB5">
        <w:rPr>
          <w:rFonts w:asciiTheme="minorHAnsi" w:hAnsiTheme="minorHAnsi" w:cs="Arial"/>
          <w:sz w:val="20"/>
          <w:szCs w:val="20"/>
        </w:rPr>
        <w:t>o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s </w:t>
      </w:r>
      <w:r w:rsidR="003B4793" w:rsidRPr="00243BB5">
        <w:rPr>
          <w:rFonts w:asciiTheme="minorHAnsi" w:hAnsiTheme="minorHAnsi" w:cs="Arial"/>
          <w:sz w:val="20"/>
          <w:szCs w:val="20"/>
        </w:rPr>
        <w:t xml:space="preserve">pela remuneração paga pelo banco </w:t>
      </w:r>
      <w:r w:rsidR="005B4BA1" w:rsidRPr="00243BB5">
        <w:rPr>
          <w:rFonts w:asciiTheme="minorHAnsi" w:hAnsiTheme="minorHAnsi" w:cs="Arial"/>
          <w:sz w:val="20"/>
          <w:szCs w:val="20"/>
        </w:rPr>
        <w:t>serão co</w:t>
      </w:r>
      <w:r w:rsidR="003B4793" w:rsidRPr="00243BB5">
        <w:rPr>
          <w:rFonts w:asciiTheme="minorHAnsi" w:hAnsiTheme="minorHAnsi" w:cs="Arial"/>
          <w:sz w:val="20"/>
          <w:szCs w:val="20"/>
        </w:rPr>
        <w:t>nsiderad</w:t>
      </w:r>
      <w:r w:rsidR="0080224C" w:rsidRPr="00243BB5">
        <w:rPr>
          <w:rFonts w:asciiTheme="minorHAnsi" w:hAnsiTheme="minorHAnsi" w:cs="Arial"/>
          <w:sz w:val="20"/>
          <w:szCs w:val="20"/>
        </w:rPr>
        <w:t>o</w:t>
      </w:r>
      <w:r w:rsidR="003B4793" w:rsidRPr="00243BB5">
        <w:rPr>
          <w:rFonts w:asciiTheme="minorHAnsi" w:hAnsiTheme="minorHAnsi" w:cs="Arial"/>
          <w:sz w:val="20"/>
          <w:szCs w:val="20"/>
        </w:rPr>
        <w:t xml:space="preserve">s como </w:t>
      </w:r>
      <w:r w:rsidR="005B4BA1" w:rsidRPr="00243BB5">
        <w:rPr>
          <w:rFonts w:asciiTheme="minorHAnsi" w:hAnsiTheme="minorHAnsi" w:cs="Arial"/>
          <w:sz w:val="20"/>
          <w:szCs w:val="20"/>
        </w:rPr>
        <w:t>crédito do convênio e aplicad</w:t>
      </w:r>
      <w:r w:rsidR="003B4793" w:rsidRPr="00243BB5">
        <w:rPr>
          <w:rFonts w:asciiTheme="minorHAnsi" w:hAnsiTheme="minorHAnsi" w:cs="Arial"/>
          <w:sz w:val="20"/>
          <w:szCs w:val="20"/>
        </w:rPr>
        <w:t>o</w:t>
      </w:r>
      <w:r w:rsidR="005B4BA1" w:rsidRPr="00243BB5">
        <w:rPr>
          <w:rFonts w:asciiTheme="minorHAnsi" w:hAnsiTheme="minorHAnsi" w:cs="Arial"/>
          <w:sz w:val="20"/>
          <w:szCs w:val="20"/>
        </w:rPr>
        <w:t>s, exclusivamente, no objeto de sua finalidade, devendo constar d</w:t>
      </w:r>
      <w:r w:rsidR="003B4793" w:rsidRPr="00243BB5">
        <w:rPr>
          <w:rFonts w:asciiTheme="minorHAnsi" w:hAnsiTheme="minorHAnsi" w:cs="Arial"/>
          <w:sz w:val="20"/>
          <w:szCs w:val="20"/>
        </w:rPr>
        <w:t>a competente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prestaç</w:t>
      </w:r>
      <w:r w:rsidR="003B4793" w:rsidRPr="00243BB5">
        <w:rPr>
          <w:rFonts w:asciiTheme="minorHAnsi" w:hAnsiTheme="minorHAnsi" w:cs="Arial"/>
          <w:sz w:val="20"/>
          <w:szCs w:val="20"/>
        </w:rPr>
        <w:t>ão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de contas</w:t>
      </w:r>
      <w:r w:rsidR="003B4793" w:rsidRPr="00243BB5">
        <w:rPr>
          <w:rFonts w:asciiTheme="minorHAnsi" w:hAnsiTheme="minorHAnsi" w:cs="Arial"/>
          <w:sz w:val="20"/>
          <w:szCs w:val="20"/>
        </w:rPr>
        <w:t>.</w:t>
      </w:r>
    </w:p>
    <w:p w:rsidR="003B4793" w:rsidRPr="00243BB5" w:rsidRDefault="003B4793" w:rsidP="003B4793">
      <w:pPr>
        <w:pStyle w:val="NormalWeb"/>
        <w:spacing w:line="360" w:lineRule="auto"/>
        <w:ind w:firstLine="240"/>
        <w:jc w:val="both"/>
        <w:rPr>
          <w:rFonts w:asciiTheme="minorHAnsi" w:hAnsiTheme="minorHAnsi" w:cs="Arial"/>
          <w:sz w:val="20"/>
          <w:szCs w:val="20"/>
        </w:rPr>
      </w:pPr>
      <w:r w:rsidRPr="00243BB5">
        <w:rPr>
          <w:rFonts w:asciiTheme="minorHAnsi" w:hAnsiTheme="minorHAnsi" w:cs="Arial"/>
          <w:sz w:val="20"/>
          <w:szCs w:val="20"/>
        </w:rPr>
        <w:t>Após a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conclusão</w:t>
      </w:r>
      <w:r w:rsidRPr="00243BB5">
        <w:rPr>
          <w:rFonts w:asciiTheme="minorHAnsi" w:hAnsiTheme="minorHAnsi" w:cs="Arial"/>
          <w:sz w:val="20"/>
          <w:szCs w:val="20"/>
        </w:rPr>
        <w:t>,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rescisão ou extinção do convênio, </w:t>
      </w:r>
      <w:r w:rsidRPr="00243BB5">
        <w:rPr>
          <w:rFonts w:asciiTheme="minorHAnsi" w:hAnsiTheme="minorHAnsi" w:cs="Arial"/>
          <w:sz w:val="20"/>
          <w:szCs w:val="20"/>
        </w:rPr>
        <w:t>todos os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saldos financeiros remanescentes, inclusive os provenientes d</w:t>
      </w:r>
      <w:r w:rsidRPr="00243BB5">
        <w:rPr>
          <w:rFonts w:asciiTheme="minorHAnsi" w:hAnsiTheme="minorHAnsi" w:cs="Arial"/>
          <w:sz w:val="20"/>
          <w:szCs w:val="20"/>
        </w:rPr>
        <w:t>e rendimentos bancários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, serão devolvidos </w:t>
      </w:r>
      <w:r w:rsidRPr="00243BB5">
        <w:rPr>
          <w:rFonts w:asciiTheme="minorHAnsi" w:hAnsiTheme="minorHAnsi" w:cs="Arial"/>
          <w:sz w:val="20"/>
          <w:szCs w:val="20"/>
        </w:rPr>
        <w:t>ao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órgão repassador dos recursos, no prazo improrrogável de 30 (trinta) dias do evento, </w:t>
      </w:r>
      <w:proofErr w:type="gramStart"/>
      <w:r w:rsidR="005B4BA1" w:rsidRPr="00243BB5">
        <w:rPr>
          <w:rFonts w:asciiTheme="minorHAnsi" w:hAnsiTheme="minorHAnsi" w:cs="Arial"/>
          <w:sz w:val="20"/>
          <w:szCs w:val="20"/>
        </w:rPr>
        <w:t>sob pena</w:t>
      </w:r>
      <w:proofErr w:type="gramEnd"/>
      <w:r w:rsidR="005B4BA1" w:rsidRPr="00243BB5">
        <w:rPr>
          <w:rFonts w:asciiTheme="minorHAnsi" w:hAnsiTheme="minorHAnsi" w:cs="Arial"/>
          <w:sz w:val="20"/>
          <w:szCs w:val="20"/>
        </w:rPr>
        <w:t xml:space="preserve"> d</w:t>
      </w:r>
      <w:r w:rsidRPr="00243BB5">
        <w:rPr>
          <w:rFonts w:asciiTheme="minorHAnsi" w:hAnsiTheme="minorHAnsi" w:cs="Arial"/>
          <w:sz w:val="20"/>
          <w:szCs w:val="20"/>
        </w:rPr>
        <w:t>e</w:t>
      </w:r>
      <w:r w:rsidR="005B4BA1" w:rsidRPr="00243BB5">
        <w:rPr>
          <w:rFonts w:asciiTheme="minorHAnsi" w:hAnsiTheme="minorHAnsi" w:cs="Arial"/>
          <w:sz w:val="20"/>
          <w:szCs w:val="20"/>
        </w:rPr>
        <w:t xml:space="preserve"> instauração de tomada de contas especial do responsável</w:t>
      </w:r>
      <w:r w:rsidRPr="00243BB5">
        <w:rPr>
          <w:rFonts w:asciiTheme="minorHAnsi" w:hAnsiTheme="minorHAnsi" w:cs="Arial"/>
          <w:sz w:val="20"/>
          <w:szCs w:val="20"/>
        </w:rPr>
        <w:t xml:space="preserve"> pela entidade contratante.</w:t>
      </w:r>
    </w:p>
    <w:p w:rsidR="00973DBB" w:rsidRPr="00243BB5" w:rsidRDefault="00973DBB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Ou seja, a prestação de contas dos recursos recebidos, utilizados e do que restar findo o convênio, deve ser </w:t>
      </w:r>
      <w:proofErr w:type="gramStart"/>
      <w:r w:rsidRPr="00243BB5">
        <w:rPr>
          <w:rFonts w:cs="Arial"/>
          <w:sz w:val="20"/>
          <w:szCs w:val="20"/>
        </w:rPr>
        <w:t>feita ,</w:t>
      </w:r>
      <w:proofErr w:type="gramEnd"/>
      <w:r w:rsidRPr="00243BB5">
        <w:rPr>
          <w:rFonts w:cs="Arial"/>
          <w:sz w:val="20"/>
          <w:szCs w:val="20"/>
        </w:rPr>
        <w:t xml:space="preserve"> impreterivelmente, no prazo de </w:t>
      </w:r>
      <w:r w:rsidRPr="00243BB5">
        <w:rPr>
          <w:rFonts w:cs="Arial"/>
          <w:b/>
          <w:sz w:val="20"/>
          <w:szCs w:val="20"/>
          <w:u w:val="single"/>
        </w:rPr>
        <w:t>30 (trinta )</w:t>
      </w:r>
      <w:r w:rsidRPr="00243BB5">
        <w:rPr>
          <w:rFonts w:cs="Arial"/>
          <w:sz w:val="20"/>
          <w:szCs w:val="20"/>
        </w:rPr>
        <w:t xml:space="preserve"> a contar da data da realização do evento. </w:t>
      </w:r>
    </w:p>
    <w:p w:rsidR="003B4793" w:rsidRPr="00243BB5" w:rsidRDefault="003B4793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Em caso de inobservância das condições pactuadas no convênio, o artigo 87 da Lei nº 8.666/93 prevê a aplicação das seguintes penalidades:</w:t>
      </w:r>
    </w:p>
    <w:p w:rsidR="003B4793" w:rsidRPr="00243BB5" w:rsidRDefault="003B4793" w:rsidP="003B47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Advertência;</w:t>
      </w:r>
    </w:p>
    <w:p w:rsidR="003B4793" w:rsidRPr="00243BB5" w:rsidRDefault="003B4793" w:rsidP="003B47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Multa </w:t>
      </w:r>
      <w:proofErr w:type="gramStart"/>
      <w:r w:rsidRPr="00243BB5">
        <w:rPr>
          <w:rFonts w:cs="Arial"/>
          <w:sz w:val="20"/>
          <w:szCs w:val="20"/>
        </w:rPr>
        <w:t xml:space="preserve">( </w:t>
      </w:r>
      <w:proofErr w:type="gramEnd"/>
      <w:r w:rsidRPr="00243BB5">
        <w:rPr>
          <w:rFonts w:cs="Arial"/>
          <w:sz w:val="20"/>
          <w:szCs w:val="20"/>
        </w:rPr>
        <w:t>prevista no contrato );</w:t>
      </w:r>
    </w:p>
    <w:p w:rsidR="003B4793" w:rsidRPr="00243BB5" w:rsidRDefault="003B4793" w:rsidP="003B47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Suspensão por até dois anos do direito de celebrar convênios; </w:t>
      </w:r>
      <w:proofErr w:type="gramStart"/>
      <w:r w:rsidRPr="00243BB5">
        <w:rPr>
          <w:rFonts w:cs="Arial"/>
          <w:sz w:val="20"/>
          <w:szCs w:val="20"/>
        </w:rPr>
        <w:t>e</w:t>
      </w:r>
      <w:proofErr w:type="gramEnd"/>
    </w:p>
    <w:p w:rsidR="003B4793" w:rsidRPr="00243BB5" w:rsidRDefault="003B4793" w:rsidP="003B47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Declaração de </w:t>
      </w:r>
      <w:proofErr w:type="gramStart"/>
      <w:r w:rsidRPr="00243BB5">
        <w:rPr>
          <w:rFonts w:cs="Arial"/>
          <w:sz w:val="20"/>
          <w:szCs w:val="20"/>
        </w:rPr>
        <w:t xml:space="preserve">inidoneidade </w:t>
      </w:r>
      <w:r w:rsidR="0080224C" w:rsidRPr="00243BB5">
        <w:rPr>
          <w:rFonts w:cs="Arial"/>
          <w:sz w:val="20"/>
          <w:szCs w:val="20"/>
        </w:rPr>
        <w:t>,</w:t>
      </w:r>
      <w:proofErr w:type="gramEnd"/>
      <w:r w:rsidRPr="00243BB5">
        <w:rPr>
          <w:rFonts w:cs="Arial"/>
          <w:sz w:val="20"/>
          <w:szCs w:val="20"/>
        </w:rPr>
        <w:t xml:space="preserve"> o que implica na proibição de celebrar outros convênios até a reabilitação da entidade, que somente ocorrerá após o saneamento de todas as irregularidades verificadas.</w:t>
      </w:r>
    </w:p>
    <w:p w:rsidR="00973DBB" w:rsidRPr="00243BB5" w:rsidRDefault="00973DBB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A prestação de contas </w:t>
      </w:r>
      <w:r w:rsidR="00F93F91" w:rsidRPr="00243BB5">
        <w:rPr>
          <w:rFonts w:cs="Arial"/>
          <w:sz w:val="20"/>
          <w:szCs w:val="20"/>
        </w:rPr>
        <w:t xml:space="preserve">– que deve ser feita </w:t>
      </w:r>
      <w:r w:rsidRPr="00243BB5">
        <w:rPr>
          <w:rFonts w:cs="Arial"/>
          <w:sz w:val="20"/>
          <w:szCs w:val="20"/>
        </w:rPr>
        <w:t>de forma precisa e em conformidade com as regras de contabilidade usualmente aceitas, acompanhada de todos os documentos comprobatórios das despesas e rendimentos</w:t>
      </w:r>
      <w:r w:rsidR="00F93F91" w:rsidRPr="00243BB5">
        <w:rPr>
          <w:rFonts w:cs="Arial"/>
          <w:sz w:val="20"/>
          <w:szCs w:val="20"/>
        </w:rPr>
        <w:t xml:space="preserve"> </w:t>
      </w:r>
      <w:proofErr w:type="gramStart"/>
      <w:r w:rsidR="00F93F91" w:rsidRPr="00243BB5">
        <w:rPr>
          <w:rFonts w:cs="Arial"/>
          <w:sz w:val="20"/>
          <w:szCs w:val="20"/>
        </w:rPr>
        <w:t xml:space="preserve">- </w:t>
      </w:r>
      <w:r w:rsidRPr="00243BB5">
        <w:rPr>
          <w:rFonts w:cs="Arial"/>
          <w:sz w:val="20"/>
          <w:szCs w:val="20"/>
        </w:rPr>
        <w:t>,</w:t>
      </w:r>
      <w:proofErr w:type="gramEnd"/>
      <w:r w:rsidRPr="00243BB5">
        <w:rPr>
          <w:rFonts w:cs="Arial"/>
          <w:sz w:val="20"/>
          <w:szCs w:val="20"/>
        </w:rPr>
        <w:t xml:space="preserve"> é a cautela mais importante a ser adotada por todo aquele que venha a celebrar convênios com o Poder Público. Assim, é recomendável o acompanhamento de todo o procedimento por profissional habilitado para tanto, seja no dia a dia, antes e durante o evento, como por ocasião de sua conclusão, quando então passará a fluir o prazo acima assinalado para a competente prestação de contas. </w:t>
      </w:r>
    </w:p>
    <w:p w:rsidR="003B4793" w:rsidRPr="00243BB5" w:rsidRDefault="003B4793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No âmbito do Estado de São Paulo, existe o Sistema Integrado de </w:t>
      </w:r>
      <w:proofErr w:type="gramStart"/>
      <w:r w:rsidRPr="00243BB5">
        <w:rPr>
          <w:rFonts w:cs="Arial"/>
          <w:sz w:val="20"/>
          <w:szCs w:val="20"/>
        </w:rPr>
        <w:t>Convênios ,</w:t>
      </w:r>
      <w:proofErr w:type="gramEnd"/>
      <w:r w:rsidRPr="00243BB5">
        <w:rPr>
          <w:rFonts w:cs="Arial"/>
          <w:sz w:val="20"/>
          <w:szCs w:val="20"/>
        </w:rPr>
        <w:t xml:space="preserve"> que se pauta pela observância das normas jurídicas acima expostas.</w:t>
      </w:r>
    </w:p>
    <w:p w:rsidR="00973DBB" w:rsidRPr="00243BB5" w:rsidRDefault="0063449F" w:rsidP="003B4793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proofErr w:type="gramStart"/>
      <w:r w:rsidRPr="00243BB5">
        <w:rPr>
          <w:rFonts w:cs="Arial"/>
          <w:b/>
          <w:sz w:val="20"/>
          <w:szCs w:val="20"/>
          <w:u w:val="single"/>
        </w:rPr>
        <w:t>3</w:t>
      </w:r>
      <w:proofErr w:type="gramEnd"/>
      <w:r w:rsidR="00973DBB" w:rsidRPr="00243BB5">
        <w:rPr>
          <w:rFonts w:cs="Arial"/>
          <w:b/>
          <w:sz w:val="20"/>
          <w:szCs w:val="20"/>
          <w:u w:val="single"/>
        </w:rPr>
        <w:t xml:space="preserve"> – A ABDL</w:t>
      </w:r>
      <w:r w:rsidR="00EB1A57" w:rsidRPr="00243BB5">
        <w:rPr>
          <w:rFonts w:cs="Arial"/>
          <w:b/>
          <w:sz w:val="20"/>
          <w:szCs w:val="20"/>
          <w:u w:val="single"/>
        </w:rPr>
        <w:t xml:space="preserve"> – Condições e advertências</w:t>
      </w:r>
    </w:p>
    <w:p w:rsidR="00973DBB" w:rsidRPr="00243BB5" w:rsidRDefault="00973DBB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O Estatuto da ABDL, em seu artigo </w:t>
      </w:r>
      <w:proofErr w:type="gramStart"/>
      <w:r w:rsidRPr="00243BB5">
        <w:rPr>
          <w:rFonts w:cs="Arial"/>
          <w:sz w:val="20"/>
          <w:szCs w:val="20"/>
        </w:rPr>
        <w:t>2º ,</w:t>
      </w:r>
      <w:proofErr w:type="gramEnd"/>
      <w:r w:rsidRPr="00243BB5">
        <w:rPr>
          <w:rFonts w:cs="Arial"/>
          <w:sz w:val="20"/>
          <w:szCs w:val="20"/>
        </w:rPr>
        <w:t xml:space="preserve"> dispõe que a associação poderá “aplicar” as suas rendas , “ sem interesse de lucro “ , na realização periódica de eventos e feiras.</w:t>
      </w:r>
    </w:p>
    <w:p w:rsidR="00821BF6" w:rsidRPr="00243BB5" w:rsidRDefault="00973DBB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Ou seja, dois pontos devem ser destacados, a saber, i) a ABDL poderá aplicar recursos próprios, sendo o Estatuto omisso quanto ao eventual recebimento (captação</w:t>
      </w:r>
      <w:proofErr w:type="gramStart"/>
      <w:r w:rsidRPr="00243BB5">
        <w:rPr>
          <w:rFonts w:cs="Arial"/>
          <w:sz w:val="20"/>
          <w:szCs w:val="20"/>
        </w:rPr>
        <w:t xml:space="preserve"> )</w:t>
      </w:r>
      <w:proofErr w:type="gramEnd"/>
      <w:r w:rsidRPr="00243BB5">
        <w:rPr>
          <w:rFonts w:cs="Arial"/>
          <w:sz w:val="20"/>
          <w:szCs w:val="20"/>
        </w:rPr>
        <w:t xml:space="preserve"> de recursos públicos; ii) em nenhuma hipótese, a ABDL poderá auferir lucros com tais atividades.</w:t>
      </w:r>
    </w:p>
    <w:p w:rsidR="00973DBB" w:rsidRPr="00243BB5" w:rsidRDefault="00821BF6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lastRenderedPageBreak/>
        <w:t xml:space="preserve">Por outro lado, o artigo 45 do Estatuto cuida dos recursos e do patrimônio da ABDL. As fontes de recursos são as contribuições mensais dos associados, além de doações, patrocínios, legados e </w:t>
      </w:r>
      <w:r w:rsidRPr="00243BB5">
        <w:rPr>
          <w:rFonts w:cs="Arial"/>
          <w:sz w:val="20"/>
          <w:szCs w:val="20"/>
          <w:u w:val="single"/>
        </w:rPr>
        <w:t>subvenções</w:t>
      </w:r>
      <w:r w:rsidRPr="00243BB5">
        <w:rPr>
          <w:rFonts w:cs="Arial"/>
          <w:sz w:val="20"/>
          <w:szCs w:val="20"/>
        </w:rPr>
        <w:t xml:space="preserve">, receitas decorrentes de prestação de serviços para associados ou terceiros e </w:t>
      </w:r>
      <w:proofErr w:type="gramStart"/>
      <w:r w:rsidRPr="00243BB5">
        <w:rPr>
          <w:rFonts w:cs="Arial"/>
          <w:sz w:val="20"/>
          <w:szCs w:val="20"/>
        </w:rPr>
        <w:t xml:space="preserve">“ </w:t>
      </w:r>
      <w:proofErr w:type="gramEnd"/>
      <w:r w:rsidRPr="00243BB5">
        <w:rPr>
          <w:rFonts w:cs="Arial"/>
          <w:sz w:val="20"/>
          <w:szCs w:val="20"/>
          <w:u w:val="single"/>
        </w:rPr>
        <w:t xml:space="preserve">outros fundos </w:t>
      </w:r>
      <w:r w:rsidRPr="00243BB5">
        <w:rPr>
          <w:rFonts w:cs="Arial"/>
          <w:sz w:val="20"/>
          <w:szCs w:val="20"/>
        </w:rPr>
        <w:t xml:space="preserve">“.   </w:t>
      </w:r>
      <w:r w:rsidR="00973DBB" w:rsidRPr="00243BB5">
        <w:rPr>
          <w:rFonts w:cs="Arial"/>
          <w:sz w:val="20"/>
          <w:szCs w:val="20"/>
        </w:rPr>
        <w:t xml:space="preserve">   </w:t>
      </w:r>
    </w:p>
    <w:p w:rsidR="00810B47" w:rsidRPr="00243BB5" w:rsidRDefault="00810B4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Em qualquer caso, a advertência é para que não seja atribuído qualquer caráter mercantil à participação da ABDL em eventos realizados mediante a celebração de convênios. O seu papel deverá ser sempre </w:t>
      </w:r>
      <w:r w:rsidR="00A4209E" w:rsidRPr="00243BB5">
        <w:rPr>
          <w:rFonts w:cs="Arial"/>
          <w:sz w:val="20"/>
          <w:szCs w:val="20"/>
        </w:rPr>
        <w:t xml:space="preserve">exclusivamente </w:t>
      </w:r>
      <w:r w:rsidRPr="00243BB5">
        <w:rPr>
          <w:rFonts w:cs="Arial"/>
          <w:sz w:val="20"/>
          <w:szCs w:val="20"/>
        </w:rPr>
        <w:t>institucional.</w:t>
      </w:r>
    </w:p>
    <w:p w:rsidR="00A4209E" w:rsidRPr="00243BB5" w:rsidRDefault="00A4209E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Recomenda-se ainda a análise minuciosa das condições de cada convênio caso a caso, uma vez que o presente Manual contempla apenas as regras gerais previstas na Legislação Federal. Determinados convênios, notadamente de âmbito municipal, podem apresentar particularidades cuja observância é obrigatória. Daí porque a assessoria técnica </w:t>
      </w:r>
      <w:proofErr w:type="gramStart"/>
      <w:r w:rsidRPr="00243BB5">
        <w:rPr>
          <w:rFonts w:cs="Arial"/>
          <w:sz w:val="20"/>
          <w:szCs w:val="20"/>
        </w:rPr>
        <w:t xml:space="preserve">( </w:t>
      </w:r>
      <w:proofErr w:type="gramEnd"/>
      <w:r w:rsidRPr="00243BB5">
        <w:rPr>
          <w:rFonts w:cs="Arial"/>
          <w:sz w:val="20"/>
          <w:szCs w:val="20"/>
        </w:rPr>
        <w:t xml:space="preserve">jurídica e contábil ) é imprescindível.  </w:t>
      </w:r>
    </w:p>
    <w:p w:rsidR="008218AC" w:rsidRPr="00243BB5" w:rsidRDefault="008218AC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Em razão de seu papel institucional, a ABDL somente poderá apoiar a realização de feiras cuja participação esteja franqueada à totalidade de seus associados, sem exceção.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Em nenhuma hipótese a ABDL poderá receber recursos destinados à organização de feiras e eventos voltados em benefício de um ou de um grupo de associados, na medida em que todos os associados deverão receber um tratamento igualitário em toda e qualquer circunstância. 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Da mesma forma, a ABDL não receberá valores, comissões ou participações de qualquer espécie por conta de seu apoio na realização de feiras e eventos.  </w:t>
      </w:r>
    </w:p>
    <w:p w:rsidR="008218AC" w:rsidRPr="00243BB5" w:rsidRDefault="008218AC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O apoio da</w:t>
      </w:r>
      <w:proofErr w:type="gramStart"/>
      <w:r w:rsidRPr="00243BB5">
        <w:rPr>
          <w:rFonts w:cs="Arial"/>
          <w:sz w:val="20"/>
          <w:szCs w:val="20"/>
        </w:rPr>
        <w:t xml:space="preserve">  </w:t>
      </w:r>
      <w:proofErr w:type="gramEnd"/>
      <w:r w:rsidRPr="00243BB5">
        <w:rPr>
          <w:rFonts w:cs="Arial"/>
          <w:sz w:val="20"/>
          <w:szCs w:val="20"/>
        </w:rPr>
        <w:t xml:space="preserve">ABDL a qualquer feira será obrigatoriamente </w:t>
      </w:r>
      <w:r w:rsidR="0063449F" w:rsidRPr="00243BB5">
        <w:rPr>
          <w:rFonts w:cs="Arial"/>
          <w:sz w:val="20"/>
          <w:szCs w:val="20"/>
        </w:rPr>
        <w:t>informado</w:t>
      </w:r>
      <w:r w:rsidRPr="00243BB5">
        <w:rPr>
          <w:rFonts w:cs="Arial"/>
          <w:sz w:val="20"/>
          <w:szCs w:val="20"/>
        </w:rPr>
        <w:t xml:space="preserve"> em seu site na internet, bem como divulgado por meio de sua assessoria de imprensa.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A ABDL poderá divulgar a sua participação na feira ou no evento através da colocação de cartazes, banners ou outros recursos de comunicação </w:t>
      </w:r>
      <w:proofErr w:type="gramStart"/>
      <w:r w:rsidRPr="00243BB5">
        <w:rPr>
          <w:rFonts w:cs="Arial"/>
          <w:sz w:val="20"/>
          <w:szCs w:val="20"/>
        </w:rPr>
        <w:t>visual análogos</w:t>
      </w:r>
      <w:proofErr w:type="gramEnd"/>
      <w:r w:rsidRPr="00243BB5">
        <w:rPr>
          <w:rFonts w:cs="Arial"/>
          <w:sz w:val="20"/>
          <w:szCs w:val="20"/>
        </w:rPr>
        <w:t xml:space="preserve">. 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 ABDL somente apoiará a realização de feiras ou eventos desde que seus associados possam usufruir de um desconto de no mínimo 30% em relação aos demais participantes não associados.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A ABDL somente apoiará a realização de feiras ou eventos desde que seja </w:t>
      </w:r>
      <w:r w:rsidR="00DC31FE" w:rsidRPr="00243BB5">
        <w:rPr>
          <w:rFonts w:cs="Arial"/>
          <w:sz w:val="20"/>
          <w:szCs w:val="20"/>
        </w:rPr>
        <w:t>assegurado</w:t>
      </w:r>
      <w:r w:rsidRPr="00243BB5">
        <w:rPr>
          <w:rFonts w:cs="Arial"/>
          <w:sz w:val="20"/>
          <w:szCs w:val="20"/>
        </w:rPr>
        <w:t xml:space="preserve"> aos seus associados um percentual de 50% dos espaços </w:t>
      </w:r>
      <w:r w:rsidR="00DC31FE" w:rsidRPr="00243BB5">
        <w:rPr>
          <w:rFonts w:cs="Arial"/>
          <w:sz w:val="20"/>
          <w:szCs w:val="20"/>
        </w:rPr>
        <w:t>disponíveis.</w:t>
      </w:r>
      <w:r w:rsidRPr="00243BB5">
        <w:rPr>
          <w:rFonts w:cs="Arial"/>
          <w:sz w:val="20"/>
          <w:szCs w:val="20"/>
        </w:rPr>
        <w:t xml:space="preserve">  </w:t>
      </w:r>
    </w:p>
    <w:p w:rsidR="004532D7" w:rsidRPr="00243BB5" w:rsidRDefault="004532D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 observância das regras insertas neste Manual é obrigatória para todo e</w:t>
      </w:r>
      <w:proofErr w:type="gramStart"/>
      <w:r w:rsidRPr="00243BB5">
        <w:rPr>
          <w:rFonts w:cs="Arial"/>
          <w:sz w:val="20"/>
          <w:szCs w:val="20"/>
        </w:rPr>
        <w:t xml:space="preserve"> </w:t>
      </w:r>
      <w:r w:rsidR="00F57060" w:rsidRPr="00243BB5">
        <w:rPr>
          <w:rFonts w:cs="Arial"/>
          <w:sz w:val="20"/>
          <w:szCs w:val="20"/>
        </w:rPr>
        <w:t xml:space="preserve"> </w:t>
      </w:r>
      <w:proofErr w:type="gramEnd"/>
      <w:r w:rsidRPr="00243BB5">
        <w:rPr>
          <w:rFonts w:cs="Arial"/>
          <w:sz w:val="20"/>
          <w:szCs w:val="20"/>
        </w:rPr>
        <w:t>qualquer contratado pela ABDL , no que couber, visando à concretização dos objetivos aqui previstos.</w:t>
      </w:r>
    </w:p>
    <w:p w:rsidR="00F57060" w:rsidRPr="00243BB5" w:rsidRDefault="0063449F" w:rsidP="005260EC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r w:rsidRPr="00243BB5">
        <w:rPr>
          <w:rFonts w:cs="Arial"/>
          <w:b/>
          <w:sz w:val="20"/>
          <w:szCs w:val="20"/>
          <w:u w:val="single"/>
        </w:rPr>
        <w:t xml:space="preserve">4- </w:t>
      </w:r>
      <w:r w:rsidR="00F57060" w:rsidRPr="00243BB5">
        <w:rPr>
          <w:rFonts w:cs="Arial"/>
          <w:b/>
          <w:sz w:val="20"/>
          <w:szCs w:val="20"/>
          <w:u w:val="single"/>
        </w:rPr>
        <w:t>Vale Cultura</w:t>
      </w:r>
    </w:p>
    <w:p w:rsidR="00F57060" w:rsidRPr="00243BB5" w:rsidRDefault="005260EC" w:rsidP="00F57060">
      <w:pPr>
        <w:spacing w:line="360" w:lineRule="auto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  <w:r w:rsidRPr="00243BB5">
        <w:rPr>
          <w:rFonts w:cs="Arial"/>
          <w:sz w:val="20"/>
          <w:szCs w:val="20"/>
        </w:rPr>
        <w:t xml:space="preserve">O Vale Cultura foi criado pela Lei Federal n. 12.761 de 27 de dezembro de 2012. </w:t>
      </w:r>
      <w:r w:rsidR="00F57060" w:rsidRPr="00243BB5">
        <w:rPr>
          <w:rFonts w:cs="Arial"/>
          <w:sz w:val="20"/>
          <w:szCs w:val="20"/>
        </w:rPr>
        <w:t>T</w:t>
      </w:r>
      <w:r w:rsidRPr="00243BB5">
        <w:rPr>
          <w:rFonts w:eastAsia="Times New Roman" w:cs="Arial"/>
          <w:color w:val="000000"/>
          <w:sz w:val="20"/>
          <w:szCs w:val="20"/>
          <w:lang w:eastAsia="pt-BR"/>
        </w:rPr>
        <w:t xml:space="preserve">rata-se de um benefício no valor de R$ 50,00 por mês, que pode ser utilizado através de um cartão magnético e que </w:t>
      </w:r>
      <w:r w:rsidRPr="00243BB5">
        <w:rPr>
          <w:rFonts w:eastAsia="Times New Roman" w:cs="Arial"/>
          <w:color w:val="000000"/>
          <w:sz w:val="20"/>
          <w:szCs w:val="20"/>
          <w:lang w:eastAsia="pt-BR"/>
        </w:rPr>
        <w:lastRenderedPageBreak/>
        <w:t>permite ao trabalhador acesso a teatros, cinemas, museus, entre outras atrações culturais</w:t>
      </w:r>
      <w:r w:rsidR="00F57060" w:rsidRPr="00243BB5">
        <w:rPr>
          <w:rFonts w:eastAsia="Times New Roman" w:cs="Arial"/>
          <w:color w:val="000000"/>
          <w:sz w:val="20"/>
          <w:szCs w:val="20"/>
          <w:lang w:eastAsia="pt-BR"/>
        </w:rPr>
        <w:t>, além da aquisição de livros</w:t>
      </w:r>
      <w:r w:rsidRPr="00243BB5">
        <w:rPr>
          <w:rFonts w:eastAsia="Times New Roman" w:cs="Arial"/>
          <w:color w:val="000000"/>
          <w:sz w:val="20"/>
          <w:szCs w:val="20"/>
          <w:lang w:eastAsia="pt-BR"/>
        </w:rPr>
        <w:t>.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5260EC" w:rsidRPr="00243BB5" w:rsidTr="00785FD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260EC" w:rsidRPr="00243BB5" w:rsidRDefault="005260EC" w:rsidP="00785FDD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:rsidR="005260EC" w:rsidRPr="00243BB5" w:rsidRDefault="005260EC" w:rsidP="005260EC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  <w:bookmarkStart w:id="1" w:name="art2§2"/>
      <w:bookmarkStart w:id="2" w:name="art5ii"/>
      <w:bookmarkStart w:id="3" w:name="art6"/>
      <w:bookmarkEnd w:id="1"/>
      <w:bookmarkEnd w:id="2"/>
      <w:bookmarkEnd w:id="3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 xml:space="preserve">É importante destacar que a lei proíbe expressamente a reversão do valor do vale-cultura em </w:t>
      </w:r>
      <w:proofErr w:type="gramStart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>dinheiro</w:t>
      </w:r>
      <w:proofErr w:type="gramEnd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 xml:space="preserve">, ainda que haja solicitação do empregado neste sentido. </w:t>
      </w:r>
      <w:bookmarkStart w:id="4" w:name="art10"/>
      <w:bookmarkEnd w:id="4"/>
    </w:p>
    <w:p w:rsidR="005260EC" w:rsidRPr="00243BB5" w:rsidRDefault="005260EC" w:rsidP="005260EC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Arial"/>
          <w:color w:val="000000"/>
          <w:sz w:val="20"/>
          <w:szCs w:val="20"/>
          <w:lang w:eastAsia="pt-BR"/>
        </w:rPr>
      </w:pPr>
      <w:r w:rsidRPr="00243BB5">
        <w:rPr>
          <w:rFonts w:eastAsia="Times New Roman" w:cs="Arial"/>
          <w:color w:val="000000"/>
          <w:sz w:val="20"/>
          <w:szCs w:val="20"/>
          <w:lang w:eastAsia="pt-BR"/>
        </w:rPr>
        <w:t xml:space="preserve">A lei também estabeleceu que até o exercício de 2017, ano-calendário de 2016, o valor gasto para a aquisição do vale-cultura poderá ser deduzido do imposto sobre </w:t>
      </w:r>
      <w:proofErr w:type="gramStart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>a renda devido pela pessoa jurídica beneficiária tributada com base no lucro real</w:t>
      </w:r>
      <w:proofErr w:type="gramEnd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>. Esta dedução fica limitada</w:t>
      </w:r>
      <w:bookmarkStart w:id="5" w:name="art10§1"/>
      <w:bookmarkEnd w:id="5"/>
      <w:r w:rsidRPr="00243BB5">
        <w:rPr>
          <w:rFonts w:eastAsia="Times New Roman" w:cs="Arial"/>
          <w:color w:val="000000"/>
          <w:sz w:val="20"/>
          <w:szCs w:val="20"/>
          <w:lang w:eastAsia="pt-BR"/>
        </w:rPr>
        <w:t xml:space="preserve"> a 1% (um por cento) do imposto sobre a renda devido.</w:t>
      </w:r>
      <w:bookmarkStart w:id="6" w:name="art10§5"/>
      <w:bookmarkEnd w:id="6"/>
    </w:p>
    <w:p w:rsidR="00F57060" w:rsidRPr="00243BB5" w:rsidRDefault="00F57060" w:rsidP="003B4793">
      <w:pPr>
        <w:spacing w:line="360" w:lineRule="auto"/>
        <w:jc w:val="both"/>
        <w:rPr>
          <w:rFonts w:cs="Arial"/>
          <w:sz w:val="20"/>
          <w:szCs w:val="20"/>
        </w:rPr>
      </w:pPr>
      <w:bookmarkStart w:id="7" w:name="art12"/>
      <w:bookmarkStart w:id="8" w:name="art13"/>
      <w:bookmarkStart w:id="9" w:name="art14"/>
      <w:bookmarkEnd w:id="7"/>
      <w:bookmarkEnd w:id="8"/>
      <w:bookmarkEnd w:id="9"/>
      <w:r w:rsidRPr="00243BB5">
        <w:rPr>
          <w:rFonts w:cs="Arial"/>
          <w:sz w:val="20"/>
          <w:szCs w:val="20"/>
        </w:rPr>
        <w:t>A ABDL tem como uma de suas diretrizes atuais a promoção, a divulgação e o apoio ao Vale Cultura, fato este que norteará a sua participação e o seu apoio às feiras e eventos a fim de que seus associados possam beneficiar-se dos efeitos desta política de governo e incrementar as suas vendas e os seus negócios de uma maneira geral.</w:t>
      </w:r>
    </w:p>
    <w:p w:rsidR="00C146C7" w:rsidRPr="00243BB5" w:rsidRDefault="0063449F" w:rsidP="003B4793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r w:rsidRPr="00243BB5">
        <w:rPr>
          <w:rFonts w:cs="Arial"/>
          <w:b/>
          <w:sz w:val="20"/>
          <w:szCs w:val="20"/>
          <w:u w:val="single"/>
        </w:rPr>
        <w:t>5</w:t>
      </w:r>
      <w:r w:rsidR="00C146C7" w:rsidRPr="00243BB5">
        <w:rPr>
          <w:rFonts w:cs="Arial"/>
          <w:b/>
          <w:sz w:val="20"/>
          <w:szCs w:val="20"/>
          <w:u w:val="single"/>
        </w:rPr>
        <w:t>–</w:t>
      </w:r>
      <w:r w:rsidR="003B4793" w:rsidRPr="00243BB5">
        <w:rPr>
          <w:rFonts w:cs="Arial"/>
          <w:b/>
          <w:sz w:val="20"/>
          <w:szCs w:val="20"/>
          <w:u w:val="single"/>
        </w:rPr>
        <w:t xml:space="preserve"> </w:t>
      </w:r>
      <w:r w:rsidR="00C146C7" w:rsidRPr="00243BB5">
        <w:rPr>
          <w:rFonts w:cs="Arial"/>
          <w:b/>
          <w:sz w:val="20"/>
          <w:szCs w:val="20"/>
          <w:u w:val="single"/>
        </w:rPr>
        <w:t>Política Nacional do Livro e Plano Nacional do</w:t>
      </w:r>
      <w:proofErr w:type="gramStart"/>
      <w:r w:rsidR="00C146C7" w:rsidRPr="00243BB5">
        <w:rPr>
          <w:rFonts w:cs="Arial"/>
          <w:b/>
          <w:sz w:val="20"/>
          <w:szCs w:val="20"/>
          <w:u w:val="single"/>
        </w:rPr>
        <w:t xml:space="preserve">  </w:t>
      </w:r>
      <w:proofErr w:type="gramEnd"/>
      <w:r w:rsidR="00C146C7" w:rsidRPr="00243BB5">
        <w:rPr>
          <w:rFonts w:cs="Arial"/>
          <w:b/>
          <w:sz w:val="20"/>
          <w:szCs w:val="20"/>
          <w:u w:val="single"/>
        </w:rPr>
        <w:t>Livro e Leitura</w:t>
      </w:r>
    </w:p>
    <w:p w:rsidR="00C146C7" w:rsidRPr="00243BB5" w:rsidRDefault="00C146C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A Política Nacional do Livro foi instituída pela Lei Federal nº 10.753, de 30 de outubro de 2003, cujo artigo 13 estabelece como um de seus objetivos a difusão do livro, mediante parcerias públicas e privadas a fim de promover e incentivar o hábito da leitura na população brasileira.</w:t>
      </w:r>
    </w:p>
    <w:p w:rsidR="00C146C7" w:rsidRPr="00243BB5" w:rsidRDefault="00C146C7" w:rsidP="003B4793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O Plano Nacional do Livro e da Leitura – PNLL foi instituído pelo Decreto Federal nº 7.559, de 1º de setembro de 2011, tendo por objeto a execução de “ações voltadas para o fomento da leitura no País</w:t>
      </w:r>
      <w:proofErr w:type="gramStart"/>
      <w:r w:rsidRPr="00243BB5">
        <w:rPr>
          <w:rFonts w:cs="Arial"/>
          <w:sz w:val="20"/>
          <w:szCs w:val="20"/>
        </w:rPr>
        <w:t>” ,</w:t>
      </w:r>
      <w:proofErr w:type="gramEnd"/>
      <w:r w:rsidRPr="00243BB5">
        <w:rPr>
          <w:rFonts w:cs="Arial"/>
          <w:sz w:val="20"/>
          <w:szCs w:val="20"/>
        </w:rPr>
        <w:t xml:space="preserve"> com a participação de</w:t>
      </w:r>
      <w:r w:rsidR="0063449F" w:rsidRPr="00243BB5">
        <w:rPr>
          <w:rFonts w:cs="Arial"/>
          <w:sz w:val="20"/>
          <w:szCs w:val="20"/>
        </w:rPr>
        <w:t xml:space="preserve"> </w:t>
      </w:r>
      <w:r w:rsidRPr="00243BB5">
        <w:rPr>
          <w:rFonts w:cs="Arial"/>
          <w:sz w:val="20"/>
          <w:szCs w:val="20"/>
        </w:rPr>
        <w:t xml:space="preserve">instituições públicas e privadas, abrindo a possibilidade da celebração de convênios nas esferas federal, estadual e municipal para a realização de feiras de livros e congressos literários.     </w:t>
      </w: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243BB5" w:rsidRDefault="00243BB5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882617" w:rsidRPr="00243BB5" w:rsidRDefault="00882617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243BB5">
        <w:rPr>
          <w:rFonts w:cs="Arial"/>
          <w:b/>
          <w:sz w:val="20"/>
          <w:szCs w:val="20"/>
        </w:rPr>
        <w:lastRenderedPageBreak/>
        <w:t>ANEXO I AO MANUAL DE CONVÊNIOS DE FEIRAS DE LIVROS – ABDL</w:t>
      </w:r>
    </w:p>
    <w:p w:rsidR="005B4BA1" w:rsidRPr="00243BB5" w:rsidRDefault="00251678" w:rsidP="00323970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243BB5">
        <w:rPr>
          <w:rFonts w:cs="Arial"/>
          <w:b/>
          <w:sz w:val="20"/>
          <w:szCs w:val="20"/>
        </w:rPr>
        <w:t xml:space="preserve">EMISSÃO DE </w:t>
      </w:r>
      <w:r w:rsidR="00882617" w:rsidRPr="00243BB5">
        <w:rPr>
          <w:rFonts w:cs="Arial"/>
          <w:b/>
          <w:sz w:val="20"/>
          <w:szCs w:val="20"/>
        </w:rPr>
        <w:t>CERTIFICA</w:t>
      </w:r>
      <w:r w:rsidRPr="00243BB5">
        <w:rPr>
          <w:rFonts w:cs="Arial"/>
          <w:b/>
          <w:sz w:val="20"/>
          <w:szCs w:val="20"/>
        </w:rPr>
        <w:t>DO</w:t>
      </w:r>
      <w:r w:rsidR="00882617" w:rsidRPr="00243BB5">
        <w:rPr>
          <w:rFonts w:cs="Arial"/>
          <w:b/>
          <w:sz w:val="20"/>
          <w:szCs w:val="20"/>
        </w:rPr>
        <w:t xml:space="preserve"> DE CAPACITAÇÃO TÉCNICA</w:t>
      </w:r>
      <w:proofErr w:type="gramStart"/>
      <w:r w:rsidR="00882617" w:rsidRPr="00243BB5">
        <w:rPr>
          <w:rFonts w:cs="Arial"/>
          <w:b/>
          <w:sz w:val="20"/>
          <w:szCs w:val="20"/>
        </w:rPr>
        <w:t xml:space="preserve">  </w:t>
      </w:r>
    </w:p>
    <w:p w:rsidR="00882617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>1.</w:t>
      </w:r>
      <w:proofErr w:type="gramEnd"/>
      <w:r w:rsidRPr="00243BB5">
        <w:rPr>
          <w:rFonts w:cs="Arial"/>
          <w:sz w:val="20"/>
          <w:szCs w:val="20"/>
        </w:rPr>
        <w:t>A ABDL poderá, mediante prévia solicitação com antecedência de 10 ( dez ) dias úteis, emitir, exclusivamente aos seus associados, o competente certificado de capacitação técnica.</w:t>
      </w:r>
    </w:p>
    <w:p w:rsidR="00243BB5" w:rsidRPr="00243BB5" w:rsidRDefault="00243BB5" w:rsidP="00323970">
      <w:pPr>
        <w:spacing w:line="360" w:lineRule="auto"/>
        <w:jc w:val="both"/>
        <w:rPr>
          <w:rFonts w:cs="Arial"/>
          <w:sz w:val="20"/>
          <w:szCs w:val="20"/>
        </w:rPr>
      </w:pPr>
    </w:p>
    <w:p w:rsidR="00882617" w:rsidRPr="00243BB5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sz w:val="20"/>
          <w:szCs w:val="20"/>
        </w:rPr>
        <w:t>2.</w:t>
      </w:r>
      <w:proofErr w:type="gramEnd"/>
      <w:r w:rsidRPr="00243BB5">
        <w:rPr>
          <w:rFonts w:cs="Arial"/>
          <w:sz w:val="20"/>
          <w:szCs w:val="20"/>
        </w:rPr>
        <w:t xml:space="preserve">Para obter o certificado de capacitação técnica, o associado deverá apresentar à ABDL , juntamente com o requerimento, o competente projeto de participação em feiras devidamente aprovado por quem de direito. </w:t>
      </w:r>
    </w:p>
    <w:p w:rsidR="00243BB5" w:rsidRDefault="00243BB5" w:rsidP="00323970">
      <w:pPr>
        <w:spacing w:line="360" w:lineRule="auto"/>
        <w:jc w:val="both"/>
        <w:rPr>
          <w:rFonts w:cs="Arial"/>
          <w:sz w:val="20"/>
          <w:szCs w:val="20"/>
        </w:rPr>
      </w:pPr>
    </w:p>
    <w:p w:rsidR="00882617" w:rsidRPr="00243BB5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3. O certificado de capacitação técnica somente será outorgado ao associado que tiver </w:t>
      </w:r>
      <w:proofErr w:type="gramStart"/>
      <w:r w:rsidRPr="00243BB5">
        <w:rPr>
          <w:rFonts w:cs="Arial"/>
          <w:sz w:val="20"/>
          <w:szCs w:val="20"/>
        </w:rPr>
        <w:t>participado ,</w:t>
      </w:r>
      <w:proofErr w:type="gramEnd"/>
      <w:r w:rsidRPr="00243BB5">
        <w:rPr>
          <w:rFonts w:cs="Arial"/>
          <w:sz w:val="20"/>
          <w:szCs w:val="20"/>
        </w:rPr>
        <w:t xml:space="preserve"> ao menos, de 2 ( duas ) feiras anteriores em que a ABDL tenha tomado parte e verificado, </w:t>
      </w:r>
      <w:r w:rsidRPr="00243BB5">
        <w:rPr>
          <w:rFonts w:cs="Arial"/>
          <w:i/>
          <w:sz w:val="20"/>
          <w:szCs w:val="20"/>
        </w:rPr>
        <w:t>in loco</w:t>
      </w:r>
      <w:r w:rsidRPr="00243BB5">
        <w:rPr>
          <w:rFonts w:cs="Arial"/>
          <w:sz w:val="20"/>
          <w:szCs w:val="20"/>
        </w:rPr>
        <w:t>, o desempenho do referido associado.</w:t>
      </w:r>
    </w:p>
    <w:p w:rsidR="00882617" w:rsidRPr="00243BB5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</w:p>
    <w:p w:rsidR="00251678" w:rsidRPr="00243BB5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sz w:val="20"/>
          <w:szCs w:val="20"/>
        </w:rPr>
        <w:t>4.</w:t>
      </w:r>
      <w:proofErr w:type="gramEnd"/>
      <w:r w:rsidR="00251678" w:rsidRPr="00243BB5">
        <w:rPr>
          <w:rFonts w:cs="Arial"/>
          <w:sz w:val="20"/>
          <w:szCs w:val="20"/>
        </w:rPr>
        <w:t>Além disso, a ABDL reserva-se ao direito de aferir os seguintes requisitos:</w:t>
      </w:r>
    </w:p>
    <w:p w:rsidR="00251678" w:rsidRPr="00243BB5" w:rsidRDefault="00251678" w:rsidP="00251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sz w:val="20"/>
          <w:szCs w:val="20"/>
        </w:rPr>
        <w:t>organização</w:t>
      </w:r>
      <w:proofErr w:type="gramEnd"/>
      <w:r w:rsidRPr="00243BB5">
        <w:rPr>
          <w:rFonts w:cs="Arial"/>
          <w:sz w:val="20"/>
          <w:szCs w:val="20"/>
        </w:rPr>
        <w:t xml:space="preserve"> da participação do associado em feiras e eventos anteriores;</w:t>
      </w:r>
    </w:p>
    <w:p w:rsidR="00251678" w:rsidRPr="00243BB5" w:rsidRDefault="00251678" w:rsidP="00251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sz w:val="20"/>
          <w:szCs w:val="20"/>
        </w:rPr>
        <w:t>atendimento</w:t>
      </w:r>
      <w:proofErr w:type="gramEnd"/>
      <w:r w:rsidRPr="00243BB5">
        <w:rPr>
          <w:rFonts w:cs="Arial"/>
          <w:sz w:val="20"/>
          <w:szCs w:val="20"/>
        </w:rPr>
        <w:t xml:space="preserve"> da finalidade a que o associado se propôs em feiras e eventos anteriores;</w:t>
      </w:r>
    </w:p>
    <w:p w:rsidR="00251678" w:rsidRPr="00243BB5" w:rsidRDefault="00251678" w:rsidP="00251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243BB5">
        <w:rPr>
          <w:rFonts w:cs="Arial"/>
          <w:sz w:val="20"/>
          <w:szCs w:val="20"/>
        </w:rPr>
        <w:t>aprovação</w:t>
      </w:r>
      <w:proofErr w:type="gramEnd"/>
      <w:r w:rsidRPr="00243BB5">
        <w:rPr>
          <w:rFonts w:cs="Arial"/>
          <w:sz w:val="20"/>
          <w:szCs w:val="20"/>
        </w:rPr>
        <w:t xml:space="preserve"> das contas pelos órgãos públicos e/ou privados competentes.</w:t>
      </w:r>
    </w:p>
    <w:p w:rsidR="00251678" w:rsidRPr="00243BB5" w:rsidRDefault="00251678" w:rsidP="00251678">
      <w:pPr>
        <w:spacing w:line="360" w:lineRule="auto"/>
        <w:jc w:val="both"/>
        <w:rPr>
          <w:rFonts w:cs="Arial"/>
          <w:sz w:val="20"/>
          <w:szCs w:val="20"/>
        </w:rPr>
      </w:pPr>
    </w:p>
    <w:p w:rsidR="00251678" w:rsidRPr="00243BB5" w:rsidRDefault="00251678" w:rsidP="00251678">
      <w:pPr>
        <w:spacing w:line="360" w:lineRule="auto"/>
        <w:jc w:val="both"/>
        <w:rPr>
          <w:rFonts w:cs="Arial"/>
          <w:sz w:val="20"/>
          <w:szCs w:val="20"/>
        </w:rPr>
      </w:pPr>
    </w:p>
    <w:p w:rsidR="00251678" w:rsidRPr="00243BB5" w:rsidRDefault="00251678" w:rsidP="00251678">
      <w:pPr>
        <w:spacing w:line="360" w:lineRule="auto"/>
        <w:jc w:val="both"/>
        <w:rPr>
          <w:rFonts w:cs="Arial"/>
          <w:sz w:val="20"/>
          <w:szCs w:val="20"/>
        </w:rPr>
      </w:pPr>
    </w:p>
    <w:p w:rsidR="00882617" w:rsidRPr="00243BB5" w:rsidRDefault="00251678" w:rsidP="00251678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 </w:t>
      </w:r>
    </w:p>
    <w:p w:rsidR="00801A97" w:rsidRPr="00243BB5" w:rsidRDefault="00882617" w:rsidP="00323970">
      <w:pPr>
        <w:spacing w:line="360" w:lineRule="auto"/>
        <w:jc w:val="both"/>
        <w:rPr>
          <w:rFonts w:cs="Arial"/>
          <w:sz w:val="20"/>
          <w:szCs w:val="20"/>
        </w:rPr>
      </w:pPr>
      <w:r w:rsidRPr="00243BB5">
        <w:rPr>
          <w:rFonts w:cs="Arial"/>
          <w:sz w:val="20"/>
          <w:szCs w:val="20"/>
        </w:rPr>
        <w:t xml:space="preserve">   </w:t>
      </w:r>
      <w:bookmarkStart w:id="10" w:name="_GoBack"/>
      <w:bookmarkEnd w:id="10"/>
    </w:p>
    <w:sectPr w:rsidR="00801A97" w:rsidRPr="00243BB5" w:rsidSect="003D4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56ED"/>
    <w:multiLevelType w:val="hybridMultilevel"/>
    <w:tmpl w:val="7B9EF2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F7A68"/>
    <w:multiLevelType w:val="hybridMultilevel"/>
    <w:tmpl w:val="D7009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CB"/>
    <w:rsid w:val="000A769A"/>
    <w:rsid w:val="001847A3"/>
    <w:rsid w:val="0019545A"/>
    <w:rsid w:val="001B1EA0"/>
    <w:rsid w:val="00243BB5"/>
    <w:rsid w:val="00251678"/>
    <w:rsid w:val="002F785E"/>
    <w:rsid w:val="003047CB"/>
    <w:rsid w:val="00323970"/>
    <w:rsid w:val="00377BDB"/>
    <w:rsid w:val="003B4793"/>
    <w:rsid w:val="003D4CD6"/>
    <w:rsid w:val="003E49E2"/>
    <w:rsid w:val="00421EC7"/>
    <w:rsid w:val="0044556B"/>
    <w:rsid w:val="004532D7"/>
    <w:rsid w:val="004A14C7"/>
    <w:rsid w:val="00503115"/>
    <w:rsid w:val="005260EC"/>
    <w:rsid w:val="005B4BA1"/>
    <w:rsid w:val="00607B98"/>
    <w:rsid w:val="00625596"/>
    <w:rsid w:val="0063449F"/>
    <w:rsid w:val="00801A97"/>
    <w:rsid w:val="0080224C"/>
    <w:rsid w:val="00810B47"/>
    <w:rsid w:val="008218AC"/>
    <w:rsid w:val="00821BF6"/>
    <w:rsid w:val="008532CE"/>
    <w:rsid w:val="00882617"/>
    <w:rsid w:val="008E7809"/>
    <w:rsid w:val="00954E24"/>
    <w:rsid w:val="00973DBB"/>
    <w:rsid w:val="009B0C8D"/>
    <w:rsid w:val="00A27563"/>
    <w:rsid w:val="00A4209E"/>
    <w:rsid w:val="00A82A64"/>
    <w:rsid w:val="00AE0CFB"/>
    <w:rsid w:val="00AE4EFC"/>
    <w:rsid w:val="00B23AD9"/>
    <w:rsid w:val="00B6718B"/>
    <w:rsid w:val="00C146C7"/>
    <w:rsid w:val="00C44EF4"/>
    <w:rsid w:val="00C8574E"/>
    <w:rsid w:val="00D42FCD"/>
    <w:rsid w:val="00D84322"/>
    <w:rsid w:val="00DC31FE"/>
    <w:rsid w:val="00E045CF"/>
    <w:rsid w:val="00E27DF8"/>
    <w:rsid w:val="00EB1A57"/>
    <w:rsid w:val="00ED71E4"/>
    <w:rsid w:val="00F57060"/>
    <w:rsid w:val="00F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B4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B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0A54-F015-4684-BC2D-66EABBB3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1917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Thamires</dc:creator>
  <cp:lastModifiedBy>BETH</cp:lastModifiedBy>
  <cp:revision>2</cp:revision>
  <dcterms:created xsi:type="dcterms:W3CDTF">2014-09-03T20:31:00Z</dcterms:created>
  <dcterms:modified xsi:type="dcterms:W3CDTF">2014-09-03T20:31:00Z</dcterms:modified>
</cp:coreProperties>
</file>